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50A7" w14:textId="4A29EE19" w:rsidR="0028521A" w:rsidRDefault="0028521A" w:rsidP="0028521A">
      <w:pPr>
        <w:jc w:val="center"/>
        <w:rPr>
          <w:rFonts w:eastAsia="Times New Roman"/>
        </w:rPr>
      </w:pPr>
      <w:r>
        <w:rPr>
          <w:rFonts w:eastAsia="Times New Roman"/>
          <w:noProof/>
        </w:rPr>
        <w:drawing>
          <wp:inline distT="0" distB="0" distL="0" distR="0" wp14:anchorId="4FD3418B" wp14:editId="27A2EE55">
            <wp:extent cx="6401435" cy="1132840"/>
            <wp:effectExtent l="0" t="0" r="0" b="1016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6273" cy="1153162"/>
                    </a:xfrm>
                    <a:prstGeom prst="rect">
                      <a:avLst/>
                    </a:prstGeom>
                    <a:noFill/>
                    <a:ln>
                      <a:noFill/>
                    </a:ln>
                  </pic:spPr>
                </pic:pic>
              </a:graphicData>
            </a:graphic>
          </wp:inline>
        </w:drawing>
      </w:r>
    </w:p>
    <w:p w14:paraId="5F150C44" w14:textId="45A009C0" w:rsidR="009F63E7" w:rsidRDefault="00111988" w:rsidP="0028521A">
      <w:pPr>
        <w:rPr>
          <w:b/>
          <w:sz w:val="28"/>
          <w:szCs w:val="28"/>
        </w:rPr>
      </w:pPr>
      <w:r w:rsidRPr="0007500B">
        <w:rPr>
          <w:rFonts w:ascii="Calibri" w:hAnsi="Calibri" w:cs="Calibri"/>
          <w:noProof/>
          <w:color w:val="000000"/>
          <w:sz w:val="22"/>
          <w:szCs w:val="22"/>
        </w:rPr>
        <w:drawing>
          <wp:anchor distT="0" distB="0" distL="114300" distR="114300" simplePos="0" relativeHeight="251709440" behindDoc="0" locked="0" layoutInCell="1" hidden="0" allowOverlap="1" wp14:anchorId="1A61D1E3" wp14:editId="14421A5F">
            <wp:simplePos x="0" y="0"/>
            <wp:positionH relativeFrom="margin">
              <wp:posOffset>52705</wp:posOffset>
            </wp:positionH>
            <wp:positionV relativeFrom="paragraph">
              <wp:posOffset>97155</wp:posOffset>
            </wp:positionV>
            <wp:extent cx="1473835" cy="381635"/>
            <wp:effectExtent l="0" t="0" r="0" b="0"/>
            <wp:wrapSquare wrapText="bothSides" distT="0" distB="0" distL="114300" distR="114300"/>
            <wp:docPr id="14" name="image3.jpg" descr="D:\Sue\Work Stuff\Traill Assoc\New Traill Logo.jpg"/>
            <wp:cNvGraphicFramePr/>
            <a:graphic xmlns:a="http://schemas.openxmlformats.org/drawingml/2006/main">
              <a:graphicData uri="http://schemas.openxmlformats.org/drawingml/2006/picture">
                <pic:pic xmlns:pic="http://schemas.openxmlformats.org/drawingml/2006/picture">
                  <pic:nvPicPr>
                    <pic:cNvPr id="0" name="image3.jpg" descr="D:\Sue\Work Stuff\Traill Assoc\New Traill Logo.jpg"/>
                    <pic:cNvPicPr preferRelativeResize="0"/>
                  </pic:nvPicPr>
                  <pic:blipFill>
                    <a:blip r:embed="rId6"/>
                    <a:srcRect/>
                    <a:stretch>
                      <a:fillRect/>
                    </a:stretch>
                  </pic:blipFill>
                  <pic:spPr>
                    <a:xfrm>
                      <a:off x="0" y="0"/>
                      <a:ext cx="1473835" cy="381635"/>
                    </a:xfrm>
                    <a:prstGeom prst="rect">
                      <a:avLst/>
                    </a:prstGeom>
                    <a:ln/>
                  </pic:spPr>
                </pic:pic>
              </a:graphicData>
            </a:graphic>
            <wp14:sizeRelH relativeFrom="margin">
              <wp14:pctWidth>0</wp14:pctWidth>
            </wp14:sizeRelH>
            <wp14:sizeRelV relativeFrom="margin">
              <wp14:pctHeight>0</wp14:pctHeight>
            </wp14:sizeRelV>
          </wp:anchor>
        </w:drawing>
      </w:r>
    </w:p>
    <w:p w14:paraId="45846831" w14:textId="44147368" w:rsidR="005315CB" w:rsidRPr="001379ED" w:rsidRDefault="00FD4057" w:rsidP="0012088C">
      <w:pPr>
        <w:rPr>
          <w:rFonts w:ascii="Calibri" w:hAnsi="Calibri"/>
          <w:b/>
          <w:sz w:val="26"/>
          <w:szCs w:val="26"/>
        </w:rPr>
      </w:pPr>
      <w:bookmarkStart w:id="0" w:name="_gjdgxs" w:colFirst="0" w:colLast="0"/>
      <w:bookmarkEnd w:id="0"/>
      <w:r w:rsidRPr="001379ED">
        <w:rPr>
          <w:rFonts w:ascii="Calibri" w:hAnsi="Calibri"/>
          <w:b/>
          <w:sz w:val="26"/>
          <w:szCs w:val="26"/>
        </w:rPr>
        <w:t xml:space="preserve">Intensive CPE/CPD </w:t>
      </w:r>
      <w:r w:rsidR="0012088C" w:rsidRPr="001379ED">
        <w:rPr>
          <w:rFonts w:ascii="Calibri" w:hAnsi="Calibri"/>
          <w:b/>
          <w:sz w:val="26"/>
          <w:szCs w:val="26"/>
        </w:rPr>
        <w:t>for Insolvency Practitioners &amp;</w:t>
      </w:r>
      <w:r w:rsidRPr="001379ED">
        <w:rPr>
          <w:rFonts w:ascii="Calibri" w:hAnsi="Calibri"/>
          <w:b/>
          <w:sz w:val="26"/>
          <w:szCs w:val="26"/>
        </w:rPr>
        <w:t xml:space="preserve"> Lawyers</w:t>
      </w:r>
      <w:r w:rsidR="0057620C" w:rsidRPr="001379ED">
        <w:rPr>
          <w:rFonts w:ascii="Calibri" w:hAnsi="Calibri"/>
          <w:b/>
          <w:sz w:val="26"/>
          <w:szCs w:val="26"/>
        </w:rPr>
        <w:t xml:space="preserve"> -</w:t>
      </w:r>
      <w:r w:rsidRPr="001379ED">
        <w:rPr>
          <w:rFonts w:ascii="Calibri" w:hAnsi="Calibri"/>
          <w:b/>
          <w:sz w:val="26"/>
          <w:szCs w:val="26"/>
        </w:rPr>
        <w:t xml:space="preserve"> from new graduates to partners.</w:t>
      </w:r>
    </w:p>
    <w:p w14:paraId="067E1FD5" w14:textId="3BF3C4E3" w:rsidR="00CA161A" w:rsidRDefault="00CA161A" w:rsidP="005315CB">
      <w:pPr>
        <w:jc w:val="center"/>
        <w:rPr>
          <w:rFonts w:ascii="Calibri" w:hAnsi="Calibri"/>
          <w:b/>
          <w:sz w:val="28"/>
          <w:szCs w:val="28"/>
        </w:rPr>
      </w:pPr>
    </w:p>
    <w:p w14:paraId="039DF154" w14:textId="77777777" w:rsidR="00C534D8" w:rsidRPr="001379ED" w:rsidRDefault="00FD4057" w:rsidP="005315CB">
      <w:pPr>
        <w:jc w:val="center"/>
        <w:rPr>
          <w:rFonts w:ascii="Calibri" w:hAnsi="Calibri"/>
          <w:b/>
          <w:sz w:val="28"/>
          <w:szCs w:val="28"/>
        </w:rPr>
      </w:pPr>
      <w:r w:rsidRPr="001379ED">
        <w:rPr>
          <w:rFonts w:ascii="Calibri" w:hAnsi="Calibri"/>
          <w:b/>
          <w:sz w:val="28"/>
          <w:szCs w:val="28"/>
        </w:rPr>
        <w:t>PARTICIPANT INFORMATION:</w:t>
      </w:r>
    </w:p>
    <w:p w14:paraId="5D3FC89B" w14:textId="67B84B7E" w:rsidR="00C534D8" w:rsidRPr="001379ED" w:rsidRDefault="00C532E4">
      <w:pPr>
        <w:rPr>
          <w:rFonts w:ascii="Calibri" w:hAnsi="Calibri"/>
          <w:b/>
        </w:rPr>
      </w:pPr>
      <w:r w:rsidRPr="001379ED">
        <w:rPr>
          <w:rFonts w:ascii="Calibri" w:hAnsi="Calibri"/>
          <w:b/>
          <w:u w:val="single"/>
        </w:rPr>
        <w:t>Melbourne</w:t>
      </w:r>
      <w:r>
        <w:rPr>
          <w:rFonts w:ascii="Calibri" w:hAnsi="Calibri"/>
          <w:b/>
        </w:rPr>
        <w:t xml:space="preserve">: </w:t>
      </w:r>
      <w:r w:rsidR="00D917AF">
        <w:rPr>
          <w:rFonts w:ascii="Calibri" w:hAnsi="Calibri"/>
          <w:b/>
        </w:rPr>
        <w:t>Monday 21</w:t>
      </w:r>
      <w:r w:rsidR="00D917AF" w:rsidRPr="00D917AF">
        <w:rPr>
          <w:rFonts w:ascii="Calibri" w:hAnsi="Calibri"/>
          <w:b/>
          <w:vertAlign w:val="superscript"/>
        </w:rPr>
        <w:t>st</w:t>
      </w:r>
      <w:r w:rsidR="00D917AF">
        <w:rPr>
          <w:rFonts w:ascii="Calibri" w:hAnsi="Calibri"/>
          <w:b/>
        </w:rPr>
        <w:t xml:space="preserve"> October</w:t>
      </w:r>
      <w:r>
        <w:rPr>
          <w:rFonts w:ascii="Calibri" w:hAnsi="Calibri"/>
          <w:b/>
        </w:rPr>
        <w:tab/>
      </w:r>
      <w:r w:rsidR="00111988">
        <w:rPr>
          <w:rFonts w:ascii="Calibri" w:hAnsi="Calibri"/>
          <w:b/>
        </w:rPr>
        <w:t xml:space="preserve">  </w:t>
      </w:r>
      <w:r w:rsidR="00FD4057" w:rsidRPr="001379ED">
        <w:rPr>
          <w:rFonts w:ascii="Calibri" w:hAnsi="Calibri"/>
          <w:b/>
          <w:u w:val="single"/>
        </w:rPr>
        <w:t>Sydney</w:t>
      </w:r>
      <w:r>
        <w:rPr>
          <w:rFonts w:ascii="Calibri" w:hAnsi="Calibri"/>
          <w:b/>
        </w:rPr>
        <w:t xml:space="preserve">: </w:t>
      </w:r>
      <w:r w:rsidR="00D917AF">
        <w:rPr>
          <w:rFonts w:ascii="Calibri" w:hAnsi="Calibri"/>
          <w:b/>
        </w:rPr>
        <w:t>Friday 25</w:t>
      </w:r>
      <w:r w:rsidR="00D917AF" w:rsidRPr="00D917AF">
        <w:rPr>
          <w:rFonts w:ascii="Calibri" w:hAnsi="Calibri"/>
          <w:b/>
          <w:vertAlign w:val="superscript"/>
        </w:rPr>
        <w:t>th</w:t>
      </w:r>
      <w:r w:rsidR="00D917AF">
        <w:rPr>
          <w:rFonts w:ascii="Calibri" w:hAnsi="Calibri"/>
          <w:b/>
        </w:rPr>
        <w:t xml:space="preserve"> October</w:t>
      </w:r>
      <w:r w:rsidR="00FD4057" w:rsidRPr="001379ED">
        <w:rPr>
          <w:rFonts w:ascii="Calibri" w:hAnsi="Calibri"/>
          <w:b/>
        </w:rPr>
        <w:t xml:space="preserve">     </w:t>
      </w:r>
      <w:r w:rsidR="00111988">
        <w:rPr>
          <w:rFonts w:ascii="Calibri" w:hAnsi="Calibri"/>
          <w:b/>
        </w:rPr>
        <w:t xml:space="preserve">  </w:t>
      </w:r>
      <w:r w:rsidR="00D917AF" w:rsidRPr="001379ED">
        <w:rPr>
          <w:rFonts w:ascii="Calibri" w:hAnsi="Calibri"/>
          <w:b/>
          <w:u w:val="single"/>
        </w:rPr>
        <w:t>Brisbane</w:t>
      </w:r>
      <w:r w:rsidR="00D917AF">
        <w:rPr>
          <w:rFonts w:ascii="Calibri" w:hAnsi="Calibri"/>
          <w:b/>
        </w:rPr>
        <w:t>:  Monday 28</w:t>
      </w:r>
      <w:r w:rsidR="00D917AF" w:rsidRPr="00D917AF">
        <w:rPr>
          <w:rFonts w:ascii="Calibri" w:hAnsi="Calibri"/>
          <w:b/>
          <w:vertAlign w:val="superscript"/>
        </w:rPr>
        <w:t>th</w:t>
      </w:r>
      <w:r w:rsidR="00D917AF">
        <w:rPr>
          <w:rFonts w:ascii="Calibri" w:hAnsi="Calibri"/>
          <w:b/>
        </w:rPr>
        <w:t xml:space="preserve"> October</w:t>
      </w:r>
    </w:p>
    <w:p w14:paraId="72FFB8C6" w14:textId="77777777" w:rsidR="00C534D8" w:rsidRPr="001379ED" w:rsidRDefault="00FD4057">
      <w:pPr>
        <w:rPr>
          <w:rFonts w:ascii="Calibri" w:hAnsi="Calibri"/>
          <w:sz w:val="20"/>
          <w:szCs w:val="20"/>
        </w:rPr>
      </w:pPr>
      <w:r w:rsidRPr="001379ED">
        <w:rPr>
          <w:rFonts w:ascii="Calibri" w:hAnsi="Calibri"/>
          <w:sz w:val="20"/>
          <w:szCs w:val="20"/>
        </w:rPr>
        <w:t>I am very pleased to announce that</w:t>
      </w:r>
      <w:r w:rsidR="00C532E4">
        <w:rPr>
          <w:rFonts w:ascii="Calibri" w:hAnsi="Calibri"/>
          <w:sz w:val="20"/>
          <w:szCs w:val="20"/>
        </w:rPr>
        <w:t xml:space="preserve">  based on the success and feedback from last year, </w:t>
      </w:r>
      <w:r w:rsidRPr="001379ED">
        <w:rPr>
          <w:rFonts w:ascii="Calibri" w:hAnsi="Calibri"/>
          <w:sz w:val="20"/>
          <w:szCs w:val="20"/>
        </w:rPr>
        <w:t xml:space="preserve"> I will be running Corporate Insolvency Bootcamps in </w:t>
      </w:r>
      <w:r w:rsidR="00D917AF">
        <w:rPr>
          <w:rFonts w:ascii="Calibri" w:hAnsi="Calibri"/>
          <w:sz w:val="20"/>
          <w:szCs w:val="20"/>
        </w:rPr>
        <w:t xml:space="preserve">October </w:t>
      </w:r>
      <w:r w:rsidR="00C532E4">
        <w:rPr>
          <w:rFonts w:ascii="Calibri" w:hAnsi="Calibri"/>
          <w:sz w:val="20"/>
          <w:szCs w:val="20"/>
        </w:rPr>
        <w:t>2019</w:t>
      </w:r>
      <w:r w:rsidRPr="001379ED">
        <w:rPr>
          <w:rFonts w:ascii="Calibri" w:hAnsi="Calibri"/>
          <w:sz w:val="20"/>
          <w:szCs w:val="20"/>
        </w:rPr>
        <w:t>, in Sydney, Melbourne and Brisbane.</w:t>
      </w:r>
      <w:r w:rsidRPr="001379ED">
        <w:rPr>
          <w:rFonts w:ascii="Calibri" w:hAnsi="Calibri"/>
          <w:b/>
          <w:sz w:val="20"/>
          <w:szCs w:val="20"/>
        </w:rPr>
        <w:t xml:space="preserve">  </w:t>
      </w:r>
      <w:r w:rsidRPr="001379ED">
        <w:rPr>
          <w:rFonts w:ascii="Calibri" w:hAnsi="Calibri"/>
          <w:sz w:val="20"/>
          <w:szCs w:val="20"/>
        </w:rPr>
        <w:t xml:space="preserve">The Bootcamps are aimed at insolvency practitioners and lawyers from new graduates to partners, as well as others from the banking, finance, regulatory and policy fields. </w:t>
      </w:r>
    </w:p>
    <w:p w14:paraId="2F97E933" w14:textId="77777777" w:rsidR="00CA161A" w:rsidRDefault="00FD4057">
      <w:pPr>
        <w:rPr>
          <w:rFonts w:ascii="Calibri" w:hAnsi="Calibri"/>
          <w:sz w:val="20"/>
          <w:szCs w:val="20"/>
        </w:rPr>
      </w:pPr>
      <w:r w:rsidRPr="001379ED">
        <w:rPr>
          <w:rFonts w:ascii="Calibri" w:hAnsi="Calibri"/>
          <w:sz w:val="20"/>
          <w:szCs w:val="20"/>
        </w:rPr>
        <w:t>The training will all be based on the changes introduced to the Corporations Act by the Insolvency Law Reform Act 2016 – the Insolvency Practice Schedule and the Insolvency Practice Rules, and the Corporations Regulations.</w:t>
      </w:r>
      <w:r w:rsidR="003B12F3" w:rsidRPr="001379ED">
        <w:rPr>
          <w:rFonts w:ascii="Calibri" w:hAnsi="Calibri"/>
          <w:sz w:val="20"/>
          <w:szCs w:val="20"/>
        </w:rPr>
        <w:t xml:space="preserve">    </w:t>
      </w:r>
    </w:p>
    <w:p w14:paraId="562D1A1B" w14:textId="77777777" w:rsidR="00CA161A" w:rsidRDefault="00CA161A">
      <w:pPr>
        <w:rPr>
          <w:rFonts w:ascii="Calibri" w:hAnsi="Calibri"/>
          <w:sz w:val="20"/>
          <w:szCs w:val="20"/>
        </w:rPr>
      </w:pPr>
    </w:p>
    <w:p w14:paraId="5760754C" w14:textId="71DA138E" w:rsidR="00C534D8" w:rsidRPr="001379ED" w:rsidRDefault="00FD4057">
      <w:pPr>
        <w:rPr>
          <w:rFonts w:ascii="Calibri" w:hAnsi="Calibri"/>
          <w:sz w:val="20"/>
          <w:szCs w:val="20"/>
        </w:rPr>
      </w:pPr>
      <w:r w:rsidRPr="001379ED">
        <w:rPr>
          <w:rFonts w:ascii="Calibri" w:hAnsi="Calibri"/>
          <w:sz w:val="20"/>
          <w:szCs w:val="20"/>
        </w:rPr>
        <w:t>The key features are:</w:t>
      </w:r>
    </w:p>
    <w:p w14:paraId="2A80B7B5" w14:textId="77777777" w:rsidR="003B12F3" w:rsidRPr="001379ED" w:rsidRDefault="003B12F3">
      <w:pPr>
        <w:numPr>
          <w:ilvl w:val="0"/>
          <w:numId w:val="4"/>
        </w:numPr>
        <w:rPr>
          <w:rFonts w:ascii="Calibri" w:hAnsi="Calibri"/>
          <w:sz w:val="20"/>
          <w:szCs w:val="20"/>
        </w:rPr>
        <w:sectPr w:rsidR="003B12F3" w:rsidRPr="001379ED">
          <w:pgSz w:w="11906" w:h="16838"/>
          <w:pgMar w:top="567" w:right="567" w:bottom="567" w:left="720" w:header="709" w:footer="709" w:gutter="0"/>
          <w:pgNumType w:start="1"/>
          <w:cols w:space="720"/>
        </w:sectPr>
      </w:pPr>
    </w:p>
    <w:p w14:paraId="27145F17" w14:textId="77777777" w:rsidR="00C534D8" w:rsidRPr="001379ED" w:rsidRDefault="00FD4057">
      <w:pPr>
        <w:numPr>
          <w:ilvl w:val="0"/>
          <w:numId w:val="4"/>
        </w:numPr>
        <w:rPr>
          <w:rFonts w:ascii="Calibri" w:hAnsi="Calibri"/>
          <w:sz w:val="20"/>
          <w:szCs w:val="20"/>
        </w:rPr>
      </w:pPr>
      <w:r w:rsidRPr="001379ED">
        <w:rPr>
          <w:rFonts w:ascii="Calibri" w:hAnsi="Calibri"/>
          <w:sz w:val="20"/>
          <w:szCs w:val="20"/>
        </w:rPr>
        <w:lastRenderedPageBreak/>
        <w:t>8.5 hours CPD - in one hit!</w:t>
      </w:r>
    </w:p>
    <w:p w14:paraId="5390C202" w14:textId="77777777" w:rsidR="00C534D8" w:rsidRPr="001379ED" w:rsidRDefault="00FD4057">
      <w:pPr>
        <w:numPr>
          <w:ilvl w:val="0"/>
          <w:numId w:val="4"/>
        </w:numPr>
        <w:rPr>
          <w:rFonts w:ascii="Calibri" w:hAnsi="Calibri"/>
          <w:sz w:val="20"/>
          <w:szCs w:val="20"/>
        </w:rPr>
      </w:pPr>
      <w:r w:rsidRPr="001379ED">
        <w:rPr>
          <w:rFonts w:ascii="Calibri" w:hAnsi="Calibri"/>
          <w:sz w:val="20"/>
          <w:szCs w:val="20"/>
        </w:rPr>
        <w:t>Transferable with 48 hours notice</w:t>
      </w:r>
    </w:p>
    <w:p w14:paraId="736F9998" w14:textId="77777777" w:rsidR="00C534D8" w:rsidRPr="001379ED" w:rsidRDefault="00FD4057">
      <w:pPr>
        <w:numPr>
          <w:ilvl w:val="0"/>
          <w:numId w:val="4"/>
        </w:numPr>
        <w:rPr>
          <w:rFonts w:ascii="Calibri" w:hAnsi="Calibri"/>
          <w:sz w:val="20"/>
          <w:szCs w:val="20"/>
        </w:rPr>
      </w:pPr>
      <w:r w:rsidRPr="001379ED">
        <w:rPr>
          <w:rFonts w:ascii="Calibri" w:hAnsi="Calibri"/>
          <w:sz w:val="20"/>
          <w:szCs w:val="20"/>
        </w:rPr>
        <w:t>Regis</w:t>
      </w:r>
      <w:r w:rsidR="00C532E4">
        <w:rPr>
          <w:rFonts w:ascii="Calibri" w:hAnsi="Calibri"/>
          <w:sz w:val="20"/>
          <w:szCs w:val="20"/>
        </w:rPr>
        <w:t xml:space="preserve">tration - as low as $350 </w:t>
      </w:r>
      <w:r w:rsidRPr="001379ED">
        <w:rPr>
          <w:rFonts w:ascii="Calibri" w:hAnsi="Calibri"/>
          <w:sz w:val="20"/>
          <w:szCs w:val="20"/>
        </w:rPr>
        <w:t>per person</w:t>
      </w:r>
      <w:r w:rsidR="00C532E4">
        <w:rPr>
          <w:rFonts w:ascii="Calibri" w:hAnsi="Calibri"/>
          <w:sz w:val="20"/>
          <w:szCs w:val="20"/>
        </w:rPr>
        <w:t xml:space="preserve"> </w:t>
      </w:r>
      <w:r w:rsidRPr="001379ED">
        <w:rPr>
          <w:rFonts w:ascii="Calibri" w:hAnsi="Calibri"/>
          <w:sz w:val="20"/>
          <w:szCs w:val="20"/>
        </w:rPr>
        <w:t xml:space="preserve">if you take advantage of the </w:t>
      </w:r>
      <w:r w:rsidR="00171F74" w:rsidRPr="001379ED">
        <w:rPr>
          <w:rFonts w:ascii="Calibri" w:hAnsi="Calibri"/>
          <w:b/>
          <w:i/>
          <w:sz w:val="20"/>
          <w:szCs w:val="20"/>
        </w:rPr>
        <w:t>Team D</w:t>
      </w:r>
      <w:r w:rsidRPr="001379ED">
        <w:rPr>
          <w:rFonts w:ascii="Calibri" w:hAnsi="Calibri"/>
          <w:b/>
          <w:i/>
          <w:sz w:val="20"/>
          <w:szCs w:val="20"/>
        </w:rPr>
        <w:t>iscount</w:t>
      </w:r>
      <w:r w:rsidRPr="001379ED">
        <w:rPr>
          <w:rFonts w:ascii="Calibri" w:hAnsi="Calibri"/>
          <w:sz w:val="20"/>
          <w:szCs w:val="20"/>
        </w:rPr>
        <w:t>.*</w:t>
      </w:r>
      <w:r w:rsidR="005B0520">
        <w:rPr>
          <w:rFonts w:ascii="Calibri" w:hAnsi="Calibri"/>
          <w:sz w:val="20"/>
          <w:szCs w:val="20"/>
        </w:rPr>
        <w:tab/>
      </w:r>
      <w:r w:rsidR="005B0520">
        <w:rPr>
          <w:rFonts w:ascii="Calibri" w:hAnsi="Calibri"/>
          <w:sz w:val="20"/>
          <w:szCs w:val="20"/>
        </w:rPr>
        <w:tab/>
      </w:r>
      <w:r w:rsidR="005B0520">
        <w:rPr>
          <w:rFonts w:ascii="Calibri" w:hAnsi="Calibri"/>
          <w:sz w:val="20"/>
          <w:szCs w:val="20"/>
        </w:rPr>
        <w:tab/>
      </w:r>
      <w:r w:rsidR="005B0520">
        <w:rPr>
          <w:rFonts w:ascii="Calibri" w:hAnsi="Calibri"/>
          <w:sz w:val="20"/>
          <w:szCs w:val="20"/>
        </w:rPr>
        <w:tab/>
      </w:r>
      <w:r w:rsidR="005B0520">
        <w:rPr>
          <w:rFonts w:ascii="Calibri" w:hAnsi="Calibri"/>
          <w:sz w:val="20"/>
          <w:szCs w:val="20"/>
        </w:rPr>
        <w:tab/>
      </w:r>
    </w:p>
    <w:p w14:paraId="1B645861" w14:textId="77777777" w:rsidR="00C534D8" w:rsidRPr="001379ED" w:rsidRDefault="003B12F3">
      <w:pPr>
        <w:numPr>
          <w:ilvl w:val="0"/>
          <w:numId w:val="4"/>
        </w:numPr>
        <w:rPr>
          <w:rFonts w:ascii="Calibri" w:hAnsi="Calibri"/>
          <w:sz w:val="20"/>
          <w:szCs w:val="20"/>
        </w:rPr>
      </w:pPr>
      <w:r w:rsidRPr="001379ED">
        <w:rPr>
          <w:rFonts w:ascii="Calibri" w:hAnsi="Calibri"/>
          <w:sz w:val="20"/>
          <w:szCs w:val="20"/>
        </w:rPr>
        <w:lastRenderedPageBreak/>
        <w:t>Alongside experienced Partners and Barristers, t</w:t>
      </w:r>
      <w:r w:rsidR="00FD4057" w:rsidRPr="001379ED">
        <w:rPr>
          <w:rFonts w:ascii="Calibri" w:hAnsi="Calibri"/>
          <w:sz w:val="20"/>
          <w:szCs w:val="20"/>
        </w:rPr>
        <w:t>hese sessions will showcase the best emerging talent from leading spec</w:t>
      </w:r>
      <w:r w:rsidR="00E45DE8">
        <w:rPr>
          <w:rFonts w:ascii="Calibri" w:hAnsi="Calibri"/>
          <w:sz w:val="20"/>
          <w:szCs w:val="20"/>
        </w:rPr>
        <w:t>ialist insolvency and law firms</w:t>
      </w:r>
    </w:p>
    <w:p w14:paraId="739F33F6" w14:textId="77777777" w:rsidR="003B12F3" w:rsidRPr="005B0520" w:rsidRDefault="00FD4057" w:rsidP="005B0520">
      <w:pPr>
        <w:numPr>
          <w:ilvl w:val="0"/>
          <w:numId w:val="4"/>
        </w:numPr>
        <w:rPr>
          <w:rFonts w:ascii="Calibri" w:hAnsi="Calibri"/>
          <w:sz w:val="20"/>
          <w:szCs w:val="20"/>
        </w:rPr>
      </w:pPr>
      <w:r w:rsidRPr="001379ED">
        <w:rPr>
          <w:rFonts w:ascii="Calibri" w:hAnsi="Calibri"/>
          <w:sz w:val="20"/>
          <w:szCs w:val="20"/>
        </w:rPr>
        <w:t>Valuable cohort networking</w:t>
      </w:r>
    </w:p>
    <w:p w14:paraId="3D996372" w14:textId="77777777" w:rsidR="005B0520" w:rsidRPr="001379ED" w:rsidRDefault="005B0520" w:rsidP="005B0520">
      <w:pPr>
        <w:numPr>
          <w:ilvl w:val="0"/>
          <w:numId w:val="4"/>
        </w:numPr>
        <w:rPr>
          <w:rFonts w:ascii="Calibri" w:hAnsi="Calibri"/>
          <w:sz w:val="20"/>
          <w:szCs w:val="20"/>
        </w:rPr>
      </w:pPr>
      <w:r w:rsidRPr="001379ED">
        <w:rPr>
          <w:rFonts w:ascii="Calibri" w:hAnsi="Calibri"/>
          <w:sz w:val="20"/>
          <w:szCs w:val="20"/>
        </w:rPr>
        <w:t>Convenient venues</w:t>
      </w:r>
    </w:p>
    <w:p w14:paraId="4088E8A7" w14:textId="77777777" w:rsidR="005B0520" w:rsidRPr="001379ED" w:rsidRDefault="005B0520" w:rsidP="0063403E">
      <w:pPr>
        <w:ind w:left="360"/>
        <w:rPr>
          <w:rFonts w:ascii="Calibri" w:hAnsi="Calibri"/>
          <w:sz w:val="20"/>
          <w:szCs w:val="20"/>
        </w:rPr>
        <w:sectPr w:rsidR="005B0520" w:rsidRPr="001379ED" w:rsidSect="003B12F3">
          <w:type w:val="continuous"/>
          <w:pgSz w:w="11906" w:h="16838"/>
          <w:pgMar w:top="567" w:right="567" w:bottom="567" w:left="720" w:header="709" w:footer="709" w:gutter="0"/>
          <w:pgNumType w:start="1"/>
          <w:cols w:num="2" w:space="720"/>
        </w:sectPr>
      </w:pPr>
    </w:p>
    <w:p w14:paraId="5F521925" w14:textId="77777777" w:rsidR="0063403E" w:rsidRDefault="0063403E" w:rsidP="0063403E">
      <w:pPr>
        <w:ind w:left="360"/>
        <w:rPr>
          <w:sz w:val="20"/>
          <w:szCs w:val="20"/>
        </w:rPr>
      </w:pPr>
    </w:p>
    <w:p w14:paraId="6B9B8F68" w14:textId="77777777" w:rsidR="0063403E" w:rsidRPr="0012088C" w:rsidRDefault="0063403E" w:rsidP="0063403E">
      <w:pPr>
        <w:ind w:left="360"/>
        <w:rPr>
          <w:sz w:val="20"/>
          <w:szCs w:val="20"/>
        </w:rPr>
      </w:pPr>
    </w:p>
    <w:tbl>
      <w:tblPr>
        <w:tblStyle w:val="a"/>
        <w:tblW w:w="108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9693"/>
      </w:tblGrid>
      <w:tr w:rsidR="00C534D8" w:rsidRPr="001379ED" w14:paraId="474EE434" w14:textId="77777777" w:rsidTr="00C13CF5">
        <w:tc>
          <w:tcPr>
            <w:tcW w:w="1176" w:type="dxa"/>
          </w:tcPr>
          <w:p w14:paraId="49D9895C" w14:textId="1C8771D1" w:rsidR="00C534D8" w:rsidRPr="001379ED" w:rsidRDefault="00C13CF5">
            <w:pPr>
              <w:rPr>
                <w:rFonts w:ascii="Calibri" w:hAnsi="Calibri"/>
                <w:sz w:val="24"/>
                <w:szCs w:val="24"/>
              </w:rPr>
            </w:pPr>
            <w:r>
              <w:rPr>
                <w:rFonts w:ascii="Calibri" w:hAnsi="Calibri"/>
                <w:sz w:val="24"/>
                <w:szCs w:val="24"/>
              </w:rPr>
              <w:t>8.3</w:t>
            </w:r>
            <w:r w:rsidR="00FD4057" w:rsidRPr="001379ED">
              <w:rPr>
                <w:rFonts w:ascii="Calibri" w:hAnsi="Calibri"/>
                <w:sz w:val="24"/>
                <w:szCs w:val="24"/>
              </w:rPr>
              <w:t>0</w:t>
            </w:r>
          </w:p>
        </w:tc>
        <w:tc>
          <w:tcPr>
            <w:tcW w:w="9693" w:type="dxa"/>
          </w:tcPr>
          <w:p w14:paraId="39775C93" w14:textId="77777777" w:rsidR="00C534D8" w:rsidRPr="001379ED" w:rsidRDefault="00FD4057">
            <w:pPr>
              <w:pStyle w:val="Heading1"/>
              <w:spacing w:before="0" w:after="0"/>
              <w:outlineLvl w:val="0"/>
              <w:rPr>
                <w:rFonts w:ascii="Calibri" w:eastAsia="Calibri" w:hAnsi="Calibri" w:cs="Calibri"/>
                <w:sz w:val="24"/>
                <w:szCs w:val="24"/>
              </w:rPr>
            </w:pPr>
            <w:r w:rsidRPr="001379ED">
              <w:rPr>
                <w:rFonts w:ascii="Calibri" w:eastAsia="Calibri" w:hAnsi="Calibri" w:cs="Calibri"/>
                <w:sz w:val="24"/>
                <w:szCs w:val="24"/>
              </w:rPr>
              <w:t>Independence &amp; DIRRIs</w:t>
            </w:r>
          </w:p>
          <w:p w14:paraId="33273830"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Corporations Act requirements</w:t>
            </w:r>
          </w:p>
          <w:p w14:paraId="02A3598A"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ARITA Code requirements</w:t>
            </w:r>
          </w:p>
          <w:p w14:paraId="4FAEBD47"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Completing the DIRRI</w:t>
            </w:r>
          </w:p>
          <w:p w14:paraId="7DA024D5"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Documenting the independence review</w:t>
            </w:r>
          </w:p>
          <w:p w14:paraId="03B200A2" w14:textId="77777777" w:rsidR="00C534D8" w:rsidRPr="001379ED" w:rsidRDefault="00FD4057" w:rsidP="0012088C">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Identifying when &amp; how to update DIRRIs</w:t>
            </w:r>
          </w:p>
          <w:p w14:paraId="5ECF0710" w14:textId="77777777" w:rsidR="007F4AF6" w:rsidRPr="001379ED" w:rsidRDefault="007F4AF6" w:rsidP="007F4AF6">
            <w:pPr>
              <w:pBdr>
                <w:top w:val="nil"/>
                <w:left w:val="nil"/>
                <w:bottom w:val="nil"/>
                <w:right w:val="nil"/>
                <w:between w:val="nil"/>
              </w:pBdr>
              <w:rPr>
                <w:rFonts w:ascii="Calibri" w:hAnsi="Calibri"/>
                <w:color w:val="000000"/>
                <w:sz w:val="24"/>
                <w:szCs w:val="24"/>
              </w:rPr>
            </w:pPr>
          </w:p>
        </w:tc>
      </w:tr>
      <w:tr w:rsidR="00C534D8" w:rsidRPr="001379ED" w14:paraId="6D21AE34" w14:textId="77777777" w:rsidTr="00C13CF5">
        <w:tc>
          <w:tcPr>
            <w:tcW w:w="1176" w:type="dxa"/>
          </w:tcPr>
          <w:p w14:paraId="38956E3E" w14:textId="1A237FB1" w:rsidR="00C534D8" w:rsidRPr="001379ED" w:rsidRDefault="006F241C">
            <w:pPr>
              <w:spacing w:before="100" w:after="100"/>
              <w:rPr>
                <w:rFonts w:ascii="Calibri" w:hAnsi="Calibri"/>
                <w:sz w:val="24"/>
                <w:szCs w:val="24"/>
              </w:rPr>
            </w:pPr>
            <w:r>
              <w:rPr>
                <w:rFonts w:ascii="Calibri" w:hAnsi="Calibri"/>
                <w:sz w:val="24"/>
                <w:szCs w:val="24"/>
              </w:rPr>
              <w:t>9.3</w:t>
            </w:r>
            <w:r w:rsidR="00FD4057" w:rsidRPr="001379ED">
              <w:rPr>
                <w:rFonts w:ascii="Calibri" w:hAnsi="Calibri"/>
                <w:sz w:val="24"/>
                <w:szCs w:val="24"/>
              </w:rPr>
              <w:t>0</w:t>
            </w:r>
          </w:p>
        </w:tc>
        <w:tc>
          <w:tcPr>
            <w:tcW w:w="9693" w:type="dxa"/>
          </w:tcPr>
          <w:p w14:paraId="57B301B6" w14:textId="77777777" w:rsidR="00C534D8" w:rsidRPr="001379ED" w:rsidRDefault="00FD4057">
            <w:pPr>
              <w:rPr>
                <w:rFonts w:ascii="Calibri" w:hAnsi="Calibri"/>
                <w:b/>
                <w:sz w:val="24"/>
                <w:szCs w:val="24"/>
              </w:rPr>
            </w:pPr>
            <w:r w:rsidRPr="001379ED">
              <w:rPr>
                <w:rFonts w:ascii="Calibri" w:hAnsi="Calibri"/>
                <w:b/>
                <w:sz w:val="24"/>
                <w:szCs w:val="24"/>
              </w:rPr>
              <w:t xml:space="preserve">Voidable Transactions </w:t>
            </w:r>
          </w:p>
          <w:p w14:paraId="09557E02"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Proving /presuming insolvency</w:t>
            </w:r>
          </w:p>
          <w:p w14:paraId="2FCFD2DE"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Types of voidable transactions – what to claim, when</w:t>
            </w:r>
          </w:p>
          <w:p w14:paraId="52D954B5"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Defences</w:t>
            </w:r>
          </w:p>
          <w:p w14:paraId="76937739"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Recovering preferences from the ATO</w:t>
            </w:r>
          </w:p>
          <w:p w14:paraId="1251ACE3"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Funding options: creditor indemnity/assigning actions/litigation funding</w:t>
            </w:r>
          </w:p>
          <w:p w14:paraId="62623896" w14:textId="77777777" w:rsidR="00C534D8" w:rsidRPr="001379ED" w:rsidRDefault="00C534D8" w:rsidP="00C05DE4">
            <w:pPr>
              <w:pBdr>
                <w:top w:val="nil"/>
                <w:left w:val="nil"/>
                <w:bottom w:val="nil"/>
                <w:right w:val="nil"/>
                <w:between w:val="nil"/>
              </w:pBdr>
              <w:rPr>
                <w:rFonts w:ascii="Calibri" w:hAnsi="Calibri"/>
                <w:color w:val="000000"/>
                <w:sz w:val="24"/>
                <w:szCs w:val="24"/>
              </w:rPr>
            </w:pPr>
          </w:p>
        </w:tc>
      </w:tr>
      <w:tr w:rsidR="00C534D8" w:rsidRPr="001379ED" w14:paraId="1EFDB634" w14:textId="77777777" w:rsidTr="00C13CF5">
        <w:tc>
          <w:tcPr>
            <w:tcW w:w="1176" w:type="dxa"/>
          </w:tcPr>
          <w:p w14:paraId="4024E751" w14:textId="48FA7383" w:rsidR="00C534D8" w:rsidRPr="001379ED" w:rsidRDefault="006F241C">
            <w:pPr>
              <w:spacing w:before="100" w:after="100"/>
              <w:rPr>
                <w:rFonts w:ascii="Calibri" w:hAnsi="Calibri"/>
                <w:sz w:val="24"/>
                <w:szCs w:val="24"/>
              </w:rPr>
            </w:pPr>
            <w:r>
              <w:rPr>
                <w:rFonts w:ascii="Calibri" w:hAnsi="Calibri"/>
                <w:sz w:val="24"/>
                <w:szCs w:val="24"/>
              </w:rPr>
              <w:t>10.3</w:t>
            </w:r>
            <w:r w:rsidR="00FD4057" w:rsidRPr="001379ED">
              <w:rPr>
                <w:rFonts w:ascii="Calibri" w:hAnsi="Calibri"/>
                <w:sz w:val="24"/>
                <w:szCs w:val="24"/>
              </w:rPr>
              <w:t>0</w:t>
            </w:r>
          </w:p>
        </w:tc>
        <w:tc>
          <w:tcPr>
            <w:tcW w:w="9693" w:type="dxa"/>
          </w:tcPr>
          <w:p w14:paraId="62CAF3F4" w14:textId="77777777" w:rsidR="00C534D8" w:rsidRPr="001379ED" w:rsidRDefault="00FD4057">
            <w:pPr>
              <w:rPr>
                <w:rFonts w:ascii="Calibri" w:hAnsi="Calibri"/>
                <w:b/>
                <w:sz w:val="24"/>
                <w:szCs w:val="24"/>
              </w:rPr>
            </w:pPr>
            <w:r w:rsidRPr="001379ED">
              <w:rPr>
                <w:rFonts w:ascii="Calibri" w:hAnsi="Calibri"/>
                <w:b/>
                <w:sz w:val="24"/>
                <w:szCs w:val="24"/>
              </w:rPr>
              <w:t>Morning tea</w:t>
            </w:r>
          </w:p>
        </w:tc>
      </w:tr>
      <w:tr w:rsidR="00C13CF5" w:rsidRPr="001379ED" w14:paraId="1DC18BE9" w14:textId="77777777" w:rsidTr="004F5BD3">
        <w:tc>
          <w:tcPr>
            <w:tcW w:w="1176" w:type="dxa"/>
          </w:tcPr>
          <w:p w14:paraId="6D52CBD8" w14:textId="4AC27018" w:rsidR="00C13CF5" w:rsidRPr="001379ED" w:rsidRDefault="006F241C" w:rsidP="004F5BD3">
            <w:pPr>
              <w:spacing w:before="100" w:after="100"/>
              <w:rPr>
                <w:rFonts w:ascii="Calibri" w:hAnsi="Calibri"/>
                <w:sz w:val="24"/>
                <w:szCs w:val="24"/>
              </w:rPr>
            </w:pPr>
            <w:r>
              <w:rPr>
                <w:rFonts w:ascii="Calibri" w:hAnsi="Calibri"/>
                <w:sz w:val="24"/>
                <w:szCs w:val="24"/>
              </w:rPr>
              <w:t>10.4</w:t>
            </w:r>
            <w:r w:rsidR="00C13CF5">
              <w:rPr>
                <w:rFonts w:ascii="Calibri" w:hAnsi="Calibri"/>
                <w:sz w:val="24"/>
                <w:szCs w:val="24"/>
              </w:rPr>
              <w:t>5</w:t>
            </w:r>
          </w:p>
        </w:tc>
        <w:tc>
          <w:tcPr>
            <w:tcW w:w="9693" w:type="dxa"/>
          </w:tcPr>
          <w:p w14:paraId="76524B7C" w14:textId="202817AF" w:rsidR="00C13CF5" w:rsidRPr="00C13CF5" w:rsidRDefault="00C13CF5" w:rsidP="00C13CF5">
            <w:pPr>
              <w:rPr>
                <w:rFonts w:ascii="Calibri" w:hAnsi="Calibri"/>
                <w:b/>
              </w:rPr>
            </w:pPr>
            <w:r w:rsidRPr="00C13CF5">
              <w:rPr>
                <w:rFonts w:ascii="Calibri" w:hAnsi="Calibri"/>
                <w:b/>
                <w:bCs/>
              </w:rPr>
              <w:t>I</w:t>
            </w:r>
            <w:r>
              <w:rPr>
                <w:rFonts w:ascii="Calibri" w:hAnsi="Calibri" w:cs="Calibri"/>
                <w:b/>
                <w:sz w:val="24"/>
                <w:szCs w:val="24"/>
              </w:rPr>
              <w:t>dentifying</w:t>
            </w:r>
            <w:r w:rsidR="00A75D79">
              <w:rPr>
                <w:rFonts w:ascii="Calibri" w:hAnsi="Calibri" w:cs="Calibri"/>
                <w:b/>
                <w:sz w:val="24"/>
                <w:szCs w:val="24"/>
              </w:rPr>
              <w:t xml:space="preserve"> &amp; </w:t>
            </w:r>
            <w:r>
              <w:rPr>
                <w:rFonts w:ascii="Calibri" w:hAnsi="Calibri" w:cs="Calibri"/>
                <w:b/>
                <w:sz w:val="24"/>
                <w:szCs w:val="24"/>
              </w:rPr>
              <w:t>Managing Insolvent Trading C</w:t>
            </w:r>
            <w:r w:rsidRPr="00C13CF5">
              <w:rPr>
                <w:rFonts w:ascii="Calibri" w:hAnsi="Calibri" w:cs="Calibri"/>
                <w:b/>
                <w:sz w:val="24"/>
                <w:szCs w:val="24"/>
              </w:rPr>
              <w:t>laims</w:t>
            </w:r>
          </w:p>
          <w:p w14:paraId="4E26BD8C" w14:textId="06169EFE" w:rsidR="00C13CF5" w:rsidRPr="00C13CF5" w:rsidRDefault="00C13CF5" w:rsidP="00C13CF5">
            <w:pPr>
              <w:numPr>
                <w:ilvl w:val="0"/>
                <w:numId w:val="2"/>
              </w:numPr>
              <w:tabs>
                <w:tab w:val="num" w:pos="720"/>
              </w:tabs>
              <w:rPr>
                <w:rFonts w:ascii="Calibri" w:hAnsi="Calibri"/>
                <w:color w:val="000000"/>
                <w:sz w:val="24"/>
                <w:szCs w:val="24"/>
              </w:rPr>
            </w:pPr>
            <w:r w:rsidRPr="00C13CF5">
              <w:rPr>
                <w:rFonts w:ascii="Calibri" w:hAnsi="Calibri"/>
                <w:color w:val="000000"/>
                <w:sz w:val="24"/>
                <w:szCs w:val="24"/>
              </w:rPr>
              <w:t>What is the duty &amp; when does it apply</w:t>
            </w:r>
            <w:r>
              <w:rPr>
                <w:rFonts w:ascii="Calibri" w:hAnsi="Calibri"/>
                <w:color w:val="000000"/>
                <w:sz w:val="24"/>
                <w:szCs w:val="24"/>
              </w:rPr>
              <w:t>?</w:t>
            </w:r>
          </w:p>
          <w:p w14:paraId="3F42741C" w14:textId="2CDE3CEF" w:rsidR="00C13CF5" w:rsidRPr="00C13CF5" w:rsidRDefault="00C13CF5" w:rsidP="00C13CF5">
            <w:pPr>
              <w:numPr>
                <w:ilvl w:val="0"/>
                <w:numId w:val="2"/>
              </w:numPr>
              <w:tabs>
                <w:tab w:val="num" w:pos="720"/>
              </w:tabs>
              <w:rPr>
                <w:rFonts w:ascii="Calibri" w:hAnsi="Calibri"/>
                <w:color w:val="000000"/>
                <w:sz w:val="24"/>
                <w:szCs w:val="24"/>
              </w:rPr>
            </w:pPr>
            <w:r w:rsidRPr="00C13CF5">
              <w:rPr>
                <w:rFonts w:ascii="Calibri" w:hAnsi="Calibri"/>
                <w:color w:val="000000"/>
                <w:sz w:val="24"/>
                <w:szCs w:val="24"/>
              </w:rPr>
              <w:t>Who owes the duty</w:t>
            </w:r>
            <w:r>
              <w:rPr>
                <w:rFonts w:ascii="Calibri" w:hAnsi="Calibri"/>
                <w:color w:val="000000"/>
                <w:sz w:val="24"/>
                <w:szCs w:val="24"/>
              </w:rPr>
              <w:t>?</w:t>
            </w:r>
          </w:p>
          <w:p w14:paraId="736D1E40"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registered directors</w:t>
            </w:r>
          </w:p>
          <w:p w14:paraId="3C2E736A"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shadow and de facto directors</w:t>
            </w:r>
          </w:p>
          <w:p w14:paraId="5D0E6E37"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holding companies</w:t>
            </w:r>
          </w:p>
          <w:p w14:paraId="0DA7237A" w14:textId="64D45B50" w:rsidR="00C13CF5" w:rsidRPr="00C13CF5" w:rsidRDefault="00C13CF5" w:rsidP="00C13CF5">
            <w:pPr>
              <w:numPr>
                <w:ilvl w:val="0"/>
                <w:numId w:val="2"/>
              </w:numPr>
              <w:tabs>
                <w:tab w:val="num" w:pos="720"/>
              </w:tabs>
              <w:rPr>
                <w:rFonts w:ascii="Calibri" w:hAnsi="Calibri"/>
                <w:color w:val="000000"/>
                <w:sz w:val="24"/>
                <w:szCs w:val="24"/>
              </w:rPr>
            </w:pPr>
            <w:r w:rsidRPr="00C13CF5">
              <w:rPr>
                <w:rFonts w:ascii="Calibri" w:hAnsi="Calibri"/>
                <w:color w:val="000000"/>
                <w:sz w:val="24"/>
                <w:szCs w:val="24"/>
              </w:rPr>
              <w:t>Formulating claims &amp; when is a debt incurred</w:t>
            </w:r>
            <w:r>
              <w:rPr>
                <w:rFonts w:ascii="Calibri" w:hAnsi="Calibri"/>
                <w:color w:val="000000"/>
                <w:sz w:val="24"/>
                <w:szCs w:val="24"/>
              </w:rPr>
              <w:t>?</w:t>
            </w:r>
          </w:p>
          <w:p w14:paraId="6008BD96" w14:textId="77777777" w:rsidR="00C13CF5" w:rsidRPr="00C13CF5" w:rsidRDefault="00C13CF5" w:rsidP="00C13CF5">
            <w:pPr>
              <w:numPr>
                <w:ilvl w:val="0"/>
                <w:numId w:val="2"/>
              </w:numPr>
              <w:tabs>
                <w:tab w:val="num" w:pos="720"/>
              </w:tabs>
              <w:rPr>
                <w:rFonts w:ascii="Calibri" w:hAnsi="Calibri"/>
                <w:color w:val="000000"/>
                <w:sz w:val="24"/>
                <w:szCs w:val="24"/>
              </w:rPr>
            </w:pPr>
            <w:r w:rsidRPr="00C13CF5">
              <w:rPr>
                <w:rFonts w:ascii="Calibri" w:hAnsi="Calibri"/>
                <w:color w:val="000000"/>
                <w:sz w:val="24"/>
                <w:szCs w:val="24"/>
              </w:rPr>
              <w:t>Assessing defences</w:t>
            </w:r>
          </w:p>
          <w:p w14:paraId="4A5DFB28"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RG 217</w:t>
            </w:r>
          </w:p>
          <w:p w14:paraId="12791B4E" w14:textId="7CB24041" w:rsidR="00C13CF5" w:rsidRPr="00C13CF5" w:rsidRDefault="00C13CF5" w:rsidP="00C13CF5">
            <w:pPr>
              <w:numPr>
                <w:ilvl w:val="1"/>
                <w:numId w:val="2"/>
              </w:numPr>
              <w:rPr>
                <w:rFonts w:ascii="Calibri" w:hAnsi="Calibri"/>
                <w:color w:val="000000"/>
                <w:sz w:val="24"/>
                <w:szCs w:val="24"/>
              </w:rPr>
            </w:pPr>
            <w:r>
              <w:rPr>
                <w:rFonts w:ascii="Calibri" w:hAnsi="Calibri"/>
                <w:color w:val="000000"/>
                <w:sz w:val="24"/>
                <w:szCs w:val="24"/>
              </w:rPr>
              <w:t>C</w:t>
            </w:r>
            <w:r w:rsidRPr="00C13CF5">
              <w:rPr>
                <w:rFonts w:ascii="Calibri" w:hAnsi="Calibri"/>
                <w:color w:val="000000"/>
                <w:sz w:val="24"/>
                <w:szCs w:val="24"/>
              </w:rPr>
              <w:t>ompetent and reliable person</w:t>
            </w:r>
          </w:p>
          <w:p w14:paraId="4B1936C8"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Illness or other good reason</w:t>
            </w:r>
          </w:p>
          <w:p w14:paraId="21578062" w14:textId="77777777" w:rsidR="00C13CF5" w:rsidRPr="00C13CF5" w:rsidRDefault="00C13CF5" w:rsidP="00C13CF5">
            <w:pPr>
              <w:numPr>
                <w:ilvl w:val="1"/>
                <w:numId w:val="2"/>
              </w:numPr>
              <w:rPr>
                <w:rFonts w:ascii="Calibri" w:hAnsi="Calibri"/>
                <w:color w:val="000000"/>
                <w:sz w:val="24"/>
                <w:szCs w:val="24"/>
              </w:rPr>
            </w:pPr>
            <w:r w:rsidRPr="00C13CF5">
              <w:rPr>
                <w:rFonts w:ascii="Calibri" w:hAnsi="Calibri"/>
                <w:color w:val="000000"/>
                <w:sz w:val="24"/>
                <w:szCs w:val="24"/>
              </w:rPr>
              <w:t>Taking reasonable steps</w:t>
            </w:r>
          </w:p>
          <w:p w14:paraId="1C6304F2" w14:textId="51A66C8E" w:rsidR="00C13CF5" w:rsidRPr="001379ED" w:rsidRDefault="00C13CF5" w:rsidP="004F5BD3">
            <w:pPr>
              <w:rPr>
                <w:rFonts w:ascii="Calibri" w:hAnsi="Calibri"/>
                <w:b/>
                <w:sz w:val="24"/>
                <w:szCs w:val="24"/>
              </w:rPr>
            </w:pPr>
          </w:p>
        </w:tc>
      </w:tr>
      <w:tr w:rsidR="00C534D8" w:rsidRPr="001379ED" w14:paraId="194EC1BC" w14:textId="77777777" w:rsidTr="006F241C">
        <w:trPr>
          <w:trHeight w:val="2135"/>
        </w:trPr>
        <w:tc>
          <w:tcPr>
            <w:tcW w:w="1176" w:type="dxa"/>
          </w:tcPr>
          <w:p w14:paraId="0643A536" w14:textId="32E57CA7" w:rsidR="00C534D8" w:rsidRPr="001379ED" w:rsidRDefault="00C13CF5">
            <w:pPr>
              <w:spacing w:before="100" w:after="100"/>
              <w:rPr>
                <w:rFonts w:ascii="Calibri" w:hAnsi="Calibri"/>
                <w:sz w:val="24"/>
                <w:szCs w:val="24"/>
              </w:rPr>
            </w:pPr>
            <w:r>
              <w:rPr>
                <w:rFonts w:ascii="Calibri" w:hAnsi="Calibri"/>
                <w:sz w:val="24"/>
                <w:szCs w:val="24"/>
              </w:rPr>
              <w:lastRenderedPageBreak/>
              <w:t>11</w:t>
            </w:r>
            <w:r w:rsidR="006F241C">
              <w:rPr>
                <w:rFonts w:ascii="Calibri" w:hAnsi="Calibri"/>
                <w:sz w:val="24"/>
                <w:szCs w:val="24"/>
              </w:rPr>
              <w:t>.4</w:t>
            </w:r>
            <w:r w:rsidR="00FD4057" w:rsidRPr="001379ED">
              <w:rPr>
                <w:rFonts w:ascii="Calibri" w:hAnsi="Calibri"/>
                <w:sz w:val="24"/>
                <w:szCs w:val="24"/>
              </w:rPr>
              <w:t>5</w:t>
            </w:r>
          </w:p>
        </w:tc>
        <w:tc>
          <w:tcPr>
            <w:tcW w:w="9693" w:type="dxa"/>
          </w:tcPr>
          <w:p w14:paraId="6C25C48F" w14:textId="26D092C3" w:rsidR="00C534D8" w:rsidRPr="001379ED" w:rsidRDefault="00FD4057">
            <w:pPr>
              <w:rPr>
                <w:rFonts w:ascii="Calibri" w:hAnsi="Calibri"/>
                <w:b/>
                <w:sz w:val="24"/>
                <w:szCs w:val="24"/>
              </w:rPr>
            </w:pPr>
            <w:r w:rsidRPr="001379ED">
              <w:rPr>
                <w:rFonts w:ascii="Calibri" w:hAnsi="Calibri"/>
                <w:b/>
                <w:sz w:val="24"/>
                <w:szCs w:val="24"/>
              </w:rPr>
              <w:t>Dealing With Trust Assets</w:t>
            </w:r>
            <w:r w:rsidR="008D40A5">
              <w:rPr>
                <w:rFonts w:ascii="Calibri" w:hAnsi="Calibri"/>
                <w:b/>
                <w:sz w:val="24"/>
                <w:szCs w:val="24"/>
              </w:rPr>
              <w:t xml:space="preserve"> – Updates </w:t>
            </w:r>
            <w:r w:rsidR="00AC7804">
              <w:rPr>
                <w:rFonts w:ascii="Calibri" w:hAnsi="Calibri"/>
                <w:b/>
                <w:sz w:val="24"/>
                <w:szCs w:val="24"/>
              </w:rPr>
              <w:t>on Significant Developments</w:t>
            </w:r>
          </w:p>
          <w:p w14:paraId="7FF287C6"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How to identify trust situations: SMSF, Trading Trusts, Assets held on trust</w:t>
            </w:r>
          </w:p>
          <w:p w14:paraId="164FB171"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Discretionary trusts/ Unit Trusts/SMSF – what’s the difference and why does it matter</w:t>
            </w:r>
          </w:p>
          <w:p w14:paraId="0A56EEEE"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Key clauses in trust deeds</w:t>
            </w:r>
          </w:p>
          <w:p w14:paraId="4418E0C0"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Issues with automatic replacement</w:t>
            </w:r>
          </w:p>
          <w:p w14:paraId="0972F9C0" w14:textId="77777777" w:rsidR="00C534D8" w:rsidRPr="001379ED" w:rsidRDefault="00FD4057">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Remuneration issues</w:t>
            </w:r>
          </w:p>
          <w:p w14:paraId="330671F6" w14:textId="03621966" w:rsidR="003B12F3" w:rsidRPr="001379ED" w:rsidRDefault="00FD4057" w:rsidP="00D42A17">
            <w:pPr>
              <w:numPr>
                <w:ilvl w:val="0"/>
                <w:numId w:val="2"/>
              </w:numPr>
              <w:pBdr>
                <w:top w:val="nil"/>
                <w:left w:val="nil"/>
                <w:bottom w:val="nil"/>
                <w:right w:val="nil"/>
                <w:between w:val="nil"/>
              </w:pBdr>
              <w:rPr>
                <w:rFonts w:ascii="Calibri" w:hAnsi="Calibri"/>
                <w:b/>
                <w:color w:val="000000"/>
                <w:sz w:val="24"/>
                <w:szCs w:val="24"/>
              </w:rPr>
            </w:pPr>
            <w:r w:rsidRPr="001379ED">
              <w:rPr>
                <w:rFonts w:ascii="Calibri" w:hAnsi="Calibri"/>
                <w:color w:val="000000"/>
                <w:sz w:val="24"/>
                <w:szCs w:val="24"/>
              </w:rPr>
              <w:t>Applications to</w:t>
            </w:r>
            <w:r w:rsidR="00D42A17">
              <w:rPr>
                <w:rFonts w:ascii="Calibri" w:hAnsi="Calibri"/>
                <w:color w:val="000000"/>
                <w:sz w:val="24"/>
                <w:szCs w:val="24"/>
              </w:rPr>
              <w:t xml:space="preserve"> Court under trustee legislation</w:t>
            </w:r>
          </w:p>
        </w:tc>
      </w:tr>
      <w:tr w:rsidR="00C13CF5" w:rsidRPr="001379ED" w14:paraId="6D4391DA" w14:textId="77777777" w:rsidTr="004F5BD3">
        <w:trPr>
          <w:trHeight w:val="527"/>
        </w:trPr>
        <w:tc>
          <w:tcPr>
            <w:tcW w:w="1176" w:type="dxa"/>
          </w:tcPr>
          <w:p w14:paraId="763A2D79" w14:textId="7D6FCDCF" w:rsidR="00C13CF5" w:rsidRPr="001379ED" w:rsidRDefault="006F241C" w:rsidP="004F5BD3">
            <w:pPr>
              <w:spacing w:before="100" w:after="100"/>
              <w:rPr>
                <w:rFonts w:ascii="Calibri" w:hAnsi="Calibri"/>
                <w:sz w:val="24"/>
                <w:szCs w:val="24"/>
              </w:rPr>
            </w:pPr>
            <w:r>
              <w:rPr>
                <w:rFonts w:ascii="Calibri" w:hAnsi="Calibri"/>
                <w:sz w:val="24"/>
                <w:szCs w:val="24"/>
              </w:rPr>
              <w:t>12.4</w:t>
            </w:r>
            <w:r w:rsidR="00C13CF5" w:rsidRPr="001379ED">
              <w:rPr>
                <w:rFonts w:ascii="Calibri" w:hAnsi="Calibri"/>
                <w:sz w:val="24"/>
                <w:szCs w:val="24"/>
              </w:rPr>
              <w:t xml:space="preserve">5   </w:t>
            </w:r>
          </w:p>
        </w:tc>
        <w:tc>
          <w:tcPr>
            <w:tcW w:w="9693" w:type="dxa"/>
          </w:tcPr>
          <w:p w14:paraId="30EF740B" w14:textId="77777777" w:rsidR="00C13CF5" w:rsidRPr="001379ED" w:rsidRDefault="00C13CF5" w:rsidP="004F5BD3">
            <w:pPr>
              <w:rPr>
                <w:rFonts w:ascii="Calibri" w:hAnsi="Calibri"/>
                <w:b/>
                <w:sz w:val="24"/>
                <w:szCs w:val="24"/>
              </w:rPr>
            </w:pPr>
            <w:r w:rsidRPr="001379ED">
              <w:rPr>
                <w:rFonts w:ascii="Calibri" w:hAnsi="Calibri"/>
                <w:b/>
                <w:sz w:val="24"/>
                <w:szCs w:val="24"/>
              </w:rPr>
              <w:t>Lunch</w:t>
            </w:r>
          </w:p>
        </w:tc>
      </w:tr>
      <w:tr w:rsidR="00C534D8" w:rsidRPr="001379ED" w14:paraId="0C0E1194" w14:textId="77777777" w:rsidTr="00C13CF5">
        <w:trPr>
          <w:trHeight w:val="90"/>
        </w:trPr>
        <w:tc>
          <w:tcPr>
            <w:tcW w:w="1176" w:type="dxa"/>
          </w:tcPr>
          <w:p w14:paraId="10FF1519" w14:textId="3A1AE779" w:rsidR="00C534D8" w:rsidRPr="001379ED" w:rsidRDefault="00FD4057">
            <w:pPr>
              <w:rPr>
                <w:rFonts w:ascii="Calibri" w:hAnsi="Calibri"/>
                <w:sz w:val="24"/>
                <w:szCs w:val="24"/>
              </w:rPr>
            </w:pPr>
            <w:r w:rsidRPr="001379ED">
              <w:rPr>
                <w:rFonts w:ascii="Calibri" w:hAnsi="Calibri"/>
                <w:sz w:val="24"/>
                <w:szCs w:val="24"/>
              </w:rPr>
              <w:t>1</w:t>
            </w:r>
            <w:r w:rsidR="00CA161A">
              <w:rPr>
                <w:rFonts w:ascii="Calibri" w:hAnsi="Calibri"/>
                <w:sz w:val="24"/>
                <w:szCs w:val="24"/>
              </w:rPr>
              <w:t>3</w:t>
            </w:r>
            <w:r w:rsidR="006F241C">
              <w:rPr>
                <w:rFonts w:ascii="Calibri" w:hAnsi="Calibri"/>
                <w:sz w:val="24"/>
                <w:szCs w:val="24"/>
              </w:rPr>
              <w:t>.1</w:t>
            </w:r>
            <w:r w:rsidR="00C13CF5">
              <w:rPr>
                <w:rFonts w:ascii="Calibri" w:hAnsi="Calibri"/>
                <w:sz w:val="24"/>
                <w:szCs w:val="24"/>
              </w:rPr>
              <w:t>5</w:t>
            </w:r>
          </w:p>
        </w:tc>
        <w:tc>
          <w:tcPr>
            <w:tcW w:w="9693" w:type="dxa"/>
          </w:tcPr>
          <w:p w14:paraId="24D921F2" w14:textId="77777777" w:rsidR="00C534D8" w:rsidRPr="001379ED" w:rsidRDefault="00FD4057">
            <w:pPr>
              <w:rPr>
                <w:rFonts w:ascii="Calibri" w:hAnsi="Calibri"/>
                <w:b/>
                <w:sz w:val="24"/>
                <w:szCs w:val="24"/>
              </w:rPr>
            </w:pPr>
            <w:r w:rsidRPr="001379ED">
              <w:rPr>
                <w:rFonts w:ascii="Calibri" w:hAnsi="Calibri"/>
                <w:b/>
                <w:sz w:val="24"/>
                <w:szCs w:val="24"/>
              </w:rPr>
              <w:t xml:space="preserve">Personal Property Security Act </w:t>
            </w:r>
          </w:p>
          <w:p w14:paraId="38F80DCB" w14:textId="77777777" w:rsidR="00C534D8" w:rsidRPr="001379ED" w:rsidRDefault="00FD405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Registration requirements and time frames</w:t>
            </w:r>
          </w:p>
          <w:p w14:paraId="1F35E629" w14:textId="77777777" w:rsidR="00C534D8" w:rsidRPr="001379ED" w:rsidRDefault="00FD405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Priorities between registrations</w:t>
            </w:r>
          </w:p>
          <w:p w14:paraId="71CB7C52" w14:textId="77777777" w:rsidR="00C534D8" w:rsidRPr="001379ED" w:rsidRDefault="00FD405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 xml:space="preserve">Effect of insolvency </w:t>
            </w:r>
          </w:p>
          <w:p w14:paraId="266D564B" w14:textId="77777777" w:rsidR="00C534D8" w:rsidRPr="001379ED" w:rsidRDefault="00FD405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 xml:space="preserve">Searching the PPSR and analysing registrations </w:t>
            </w:r>
          </w:p>
          <w:p w14:paraId="4B944281" w14:textId="77777777" w:rsidR="00C534D8" w:rsidRPr="001379ED" w:rsidRDefault="00FD405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Dealing with imperfect/incorrect registrations</w:t>
            </w:r>
          </w:p>
          <w:p w14:paraId="11C81EBD" w14:textId="77777777" w:rsidR="00AA3279" w:rsidRPr="001379ED" w:rsidRDefault="00FD4057" w:rsidP="0012088C">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Selling secured assets on behalf of a secured creditor:</w:t>
            </w:r>
            <w:r w:rsidR="0012088C" w:rsidRPr="001379ED">
              <w:rPr>
                <w:rFonts w:ascii="Calibri" w:hAnsi="Calibri"/>
                <w:color w:val="000000"/>
                <w:sz w:val="24"/>
                <w:szCs w:val="24"/>
              </w:rPr>
              <w:t xml:space="preserve"> - </w:t>
            </w:r>
          </w:p>
          <w:p w14:paraId="45500443" w14:textId="77777777" w:rsidR="0012088C" w:rsidRPr="001379ED" w:rsidRDefault="00AA3279" w:rsidP="00AA3279">
            <w:pPr>
              <w:pBdr>
                <w:top w:val="nil"/>
                <w:left w:val="nil"/>
                <w:bottom w:val="nil"/>
                <w:right w:val="nil"/>
                <w:between w:val="nil"/>
              </w:pBdr>
              <w:spacing w:line="276" w:lineRule="auto"/>
              <w:ind w:left="360"/>
              <w:contextualSpacing/>
              <w:rPr>
                <w:rFonts w:ascii="Calibri" w:hAnsi="Calibri"/>
                <w:color w:val="000000"/>
                <w:sz w:val="24"/>
                <w:szCs w:val="24"/>
              </w:rPr>
            </w:pPr>
            <w:r w:rsidRPr="001379ED">
              <w:rPr>
                <w:rFonts w:ascii="Calibri" w:hAnsi="Calibri"/>
                <w:color w:val="000000"/>
                <w:sz w:val="24"/>
                <w:szCs w:val="24"/>
              </w:rPr>
              <w:t xml:space="preserve">            </w:t>
            </w:r>
            <w:r w:rsidR="00FD4057" w:rsidRPr="001379ED">
              <w:rPr>
                <w:rFonts w:ascii="Calibri" w:hAnsi="Calibri"/>
                <w:color w:val="000000"/>
                <w:sz w:val="24"/>
                <w:szCs w:val="24"/>
              </w:rPr>
              <w:t>Giving clear title</w:t>
            </w:r>
            <w:r w:rsidR="0012088C" w:rsidRPr="001379ED">
              <w:rPr>
                <w:rFonts w:ascii="Calibri" w:hAnsi="Calibri"/>
                <w:color w:val="000000"/>
                <w:sz w:val="24"/>
                <w:szCs w:val="24"/>
              </w:rPr>
              <w:t xml:space="preserve"> /  Remuneration for the work</w:t>
            </w:r>
          </w:p>
          <w:p w14:paraId="5498FC26" w14:textId="65750A56" w:rsidR="00716DAC" w:rsidRPr="001379ED" w:rsidRDefault="00FD4057" w:rsidP="00D42A17">
            <w:pPr>
              <w:numPr>
                <w:ilvl w:val="0"/>
                <w:numId w:val="3"/>
              </w:numPr>
              <w:pBdr>
                <w:top w:val="nil"/>
                <w:left w:val="nil"/>
                <w:bottom w:val="nil"/>
                <w:right w:val="nil"/>
                <w:between w:val="nil"/>
              </w:pBdr>
              <w:spacing w:line="276" w:lineRule="auto"/>
              <w:contextualSpacing/>
              <w:rPr>
                <w:rFonts w:ascii="Calibri" w:hAnsi="Calibri"/>
                <w:color w:val="000000"/>
                <w:sz w:val="24"/>
                <w:szCs w:val="24"/>
              </w:rPr>
            </w:pPr>
            <w:r w:rsidRPr="001379ED">
              <w:rPr>
                <w:rFonts w:ascii="Calibri" w:hAnsi="Calibri"/>
                <w:color w:val="000000"/>
                <w:sz w:val="24"/>
                <w:szCs w:val="24"/>
              </w:rPr>
              <w:t xml:space="preserve">Dealing with leased </w:t>
            </w:r>
            <w:r w:rsidR="00AA3279" w:rsidRPr="001379ED">
              <w:rPr>
                <w:rFonts w:ascii="Calibri" w:hAnsi="Calibri"/>
                <w:color w:val="000000"/>
                <w:sz w:val="24"/>
                <w:szCs w:val="24"/>
              </w:rPr>
              <w:t xml:space="preserve">assets  </w:t>
            </w:r>
          </w:p>
        </w:tc>
      </w:tr>
      <w:tr w:rsidR="006F241C" w:rsidRPr="001379ED" w14:paraId="6E0A948D" w14:textId="77777777" w:rsidTr="00D42A17">
        <w:trPr>
          <w:trHeight w:val="541"/>
        </w:trPr>
        <w:tc>
          <w:tcPr>
            <w:tcW w:w="1176" w:type="dxa"/>
          </w:tcPr>
          <w:p w14:paraId="2FEE522C" w14:textId="63395334" w:rsidR="006F241C" w:rsidRPr="001379ED" w:rsidRDefault="00CA161A">
            <w:pPr>
              <w:spacing w:before="100" w:after="100"/>
              <w:rPr>
                <w:rFonts w:ascii="Calibri" w:hAnsi="Calibri"/>
                <w:sz w:val="24"/>
                <w:szCs w:val="24"/>
              </w:rPr>
            </w:pPr>
            <w:r>
              <w:rPr>
                <w:rFonts w:ascii="Calibri" w:hAnsi="Calibri"/>
                <w:sz w:val="24"/>
                <w:szCs w:val="24"/>
              </w:rPr>
              <w:t>14</w:t>
            </w:r>
            <w:r w:rsidR="006F241C" w:rsidRPr="001379ED">
              <w:rPr>
                <w:rFonts w:ascii="Calibri" w:hAnsi="Calibri"/>
                <w:sz w:val="24"/>
                <w:szCs w:val="24"/>
              </w:rPr>
              <w:t>.45</w:t>
            </w:r>
          </w:p>
        </w:tc>
        <w:tc>
          <w:tcPr>
            <w:tcW w:w="9693" w:type="dxa"/>
          </w:tcPr>
          <w:p w14:paraId="129B61FB" w14:textId="454547B0" w:rsidR="006F241C" w:rsidRPr="001379ED" w:rsidRDefault="006F241C" w:rsidP="00D42A17">
            <w:pPr>
              <w:pBdr>
                <w:top w:val="nil"/>
                <w:left w:val="nil"/>
                <w:bottom w:val="nil"/>
                <w:right w:val="nil"/>
                <w:between w:val="nil"/>
              </w:pBdr>
              <w:rPr>
                <w:rFonts w:ascii="Calibri" w:hAnsi="Calibri"/>
                <w:color w:val="000000"/>
                <w:sz w:val="24"/>
                <w:szCs w:val="24"/>
              </w:rPr>
            </w:pPr>
            <w:r w:rsidRPr="001379ED">
              <w:rPr>
                <w:rFonts w:ascii="Calibri" w:hAnsi="Calibri"/>
                <w:b/>
                <w:sz w:val="24"/>
                <w:szCs w:val="24"/>
              </w:rPr>
              <w:t>Afternoon tea</w:t>
            </w:r>
          </w:p>
        </w:tc>
      </w:tr>
      <w:tr w:rsidR="006F241C" w:rsidRPr="001379ED" w14:paraId="7881896A" w14:textId="77777777" w:rsidTr="00C13CF5">
        <w:tc>
          <w:tcPr>
            <w:tcW w:w="1176" w:type="dxa"/>
          </w:tcPr>
          <w:p w14:paraId="26F1D22C" w14:textId="3507836D" w:rsidR="006F241C" w:rsidRPr="001379ED" w:rsidRDefault="00D42A17">
            <w:pPr>
              <w:spacing w:before="100" w:after="100"/>
              <w:rPr>
                <w:rFonts w:ascii="Calibri" w:hAnsi="Calibri"/>
                <w:sz w:val="24"/>
                <w:szCs w:val="24"/>
              </w:rPr>
            </w:pPr>
            <w:r>
              <w:rPr>
                <w:rFonts w:ascii="Calibri" w:hAnsi="Calibri"/>
                <w:sz w:val="24"/>
                <w:szCs w:val="24"/>
              </w:rPr>
              <w:t>16</w:t>
            </w:r>
            <w:r w:rsidR="006F241C" w:rsidRPr="001379ED">
              <w:rPr>
                <w:rFonts w:ascii="Calibri" w:hAnsi="Calibri"/>
                <w:sz w:val="24"/>
                <w:szCs w:val="24"/>
              </w:rPr>
              <w:t>.</w:t>
            </w:r>
            <w:r>
              <w:rPr>
                <w:rFonts w:ascii="Calibri" w:hAnsi="Calibri"/>
                <w:sz w:val="24"/>
                <w:szCs w:val="24"/>
              </w:rPr>
              <w:t>00</w:t>
            </w:r>
          </w:p>
        </w:tc>
        <w:tc>
          <w:tcPr>
            <w:tcW w:w="9693" w:type="dxa"/>
          </w:tcPr>
          <w:p w14:paraId="261899A8" w14:textId="77777777" w:rsidR="006F241C" w:rsidRPr="001379ED" w:rsidRDefault="006F241C">
            <w:pPr>
              <w:rPr>
                <w:rFonts w:ascii="Calibri" w:hAnsi="Calibri"/>
                <w:b/>
                <w:sz w:val="24"/>
                <w:szCs w:val="24"/>
              </w:rPr>
            </w:pPr>
            <w:r w:rsidRPr="001379ED">
              <w:rPr>
                <w:rFonts w:ascii="Calibri" w:hAnsi="Calibri"/>
                <w:b/>
                <w:sz w:val="24"/>
                <w:szCs w:val="24"/>
              </w:rPr>
              <w:t>Remuneration</w:t>
            </w:r>
          </w:p>
          <w:p w14:paraId="18CB9A4D" w14:textId="77777777" w:rsidR="006F241C" w:rsidRPr="001379ED" w:rsidRDefault="006F241C">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Corporations Act requirements</w:t>
            </w:r>
          </w:p>
          <w:p w14:paraId="55EB2E66" w14:textId="77777777" w:rsidR="006F241C" w:rsidRPr="001379ED" w:rsidRDefault="006F241C">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ARITA Code requirements</w:t>
            </w:r>
          </w:p>
          <w:p w14:paraId="3A5FE243" w14:textId="77777777" w:rsidR="006F241C" w:rsidRPr="001379ED" w:rsidRDefault="006F241C">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Lessons from the Courts</w:t>
            </w:r>
          </w:p>
          <w:p w14:paraId="0B77EAB3" w14:textId="77777777" w:rsidR="006F241C" w:rsidRPr="001379ED" w:rsidRDefault="006F241C">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Best practice remuneration reports</w:t>
            </w:r>
          </w:p>
          <w:p w14:paraId="12739E03" w14:textId="77777777" w:rsidR="006F241C" w:rsidRPr="001379ED" w:rsidRDefault="006F241C" w:rsidP="00AA3279">
            <w:pPr>
              <w:numPr>
                <w:ilvl w:val="0"/>
                <w:numId w:val="2"/>
              </w:numPr>
              <w:pBdr>
                <w:top w:val="nil"/>
                <w:left w:val="nil"/>
                <w:bottom w:val="nil"/>
                <w:right w:val="nil"/>
                <w:between w:val="nil"/>
              </w:pBdr>
              <w:rPr>
                <w:rFonts w:ascii="Calibri" w:hAnsi="Calibri"/>
                <w:color w:val="000000"/>
                <w:sz w:val="24"/>
                <w:szCs w:val="24"/>
              </w:rPr>
            </w:pPr>
            <w:r w:rsidRPr="001379ED">
              <w:rPr>
                <w:rFonts w:ascii="Calibri" w:hAnsi="Calibri"/>
                <w:color w:val="000000"/>
                <w:sz w:val="24"/>
                <w:szCs w:val="24"/>
              </w:rPr>
              <w:t xml:space="preserve">Dealing with legal challenges </w:t>
            </w:r>
          </w:p>
        </w:tc>
      </w:tr>
      <w:tr w:rsidR="006F241C" w:rsidRPr="001379ED" w14:paraId="2422F529" w14:textId="77777777" w:rsidTr="00C13CF5">
        <w:trPr>
          <w:trHeight w:val="2371"/>
        </w:trPr>
        <w:tc>
          <w:tcPr>
            <w:tcW w:w="1176" w:type="dxa"/>
          </w:tcPr>
          <w:p w14:paraId="7DE31293" w14:textId="3555B809" w:rsidR="006F241C" w:rsidRPr="001379ED" w:rsidRDefault="00D42A17">
            <w:pPr>
              <w:spacing w:before="100" w:after="100"/>
              <w:rPr>
                <w:rFonts w:ascii="Calibri" w:hAnsi="Calibri"/>
                <w:sz w:val="24"/>
                <w:szCs w:val="24"/>
              </w:rPr>
            </w:pPr>
            <w:r>
              <w:rPr>
                <w:rFonts w:ascii="Calibri" w:hAnsi="Calibri"/>
                <w:sz w:val="24"/>
                <w:szCs w:val="24"/>
              </w:rPr>
              <w:t>17</w:t>
            </w:r>
            <w:r w:rsidR="006F241C" w:rsidRPr="001379ED">
              <w:rPr>
                <w:rFonts w:ascii="Calibri" w:hAnsi="Calibri"/>
                <w:sz w:val="24"/>
                <w:szCs w:val="24"/>
              </w:rPr>
              <w:t>.00</w:t>
            </w:r>
          </w:p>
        </w:tc>
        <w:tc>
          <w:tcPr>
            <w:tcW w:w="9693" w:type="dxa"/>
          </w:tcPr>
          <w:p w14:paraId="0B4C992D" w14:textId="77777777" w:rsidR="006F241C" w:rsidRPr="001379ED" w:rsidRDefault="006F241C">
            <w:pPr>
              <w:rPr>
                <w:rFonts w:ascii="Calibri" w:hAnsi="Calibri"/>
                <w:b/>
                <w:sz w:val="24"/>
                <w:szCs w:val="24"/>
              </w:rPr>
            </w:pPr>
            <w:r w:rsidRPr="001379ED">
              <w:rPr>
                <w:rFonts w:ascii="Calibri" w:hAnsi="Calibri"/>
                <w:b/>
                <w:sz w:val="24"/>
                <w:szCs w:val="24"/>
              </w:rPr>
              <w:t>Dealing With Creditor Claims – Voting and Distributions</w:t>
            </w:r>
          </w:p>
          <w:p w14:paraId="149D0BEC" w14:textId="77777777" w:rsidR="006F241C" w:rsidRPr="001379ED" w:rsidRDefault="006F241C">
            <w:pPr>
              <w:numPr>
                <w:ilvl w:val="0"/>
                <w:numId w:val="1"/>
              </w:numPr>
              <w:rPr>
                <w:rFonts w:ascii="Calibri" w:hAnsi="Calibri"/>
              </w:rPr>
            </w:pPr>
            <w:r w:rsidRPr="001379ED">
              <w:rPr>
                <w:rFonts w:ascii="Calibri" w:hAnsi="Calibri"/>
                <w:sz w:val="24"/>
                <w:szCs w:val="24"/>
              </w:rPr>
              <w:t>Assessing claims for voting purposes</w:t>
            </w:r>
          </w:p>
          <w:p w14:paraId="67DF1587" w14:textId="77777777" w:rsidR="006F241C" w:rsidRPr="001379ED" w:rsidRDefault="006F241C">
            <w:pPr>
              <w:numPr>
                <w:ilvl w:val="0"/>
                <w:numId w:val="1"/>
              </w:numPr>
              <w:rPr>
                <w:rFonts w:ascii="Calibri" w:hAnsi="Calibri"/>
              </w:rPr>
            </w:pPr>
            <w:r w:rsidRPr="001379ED">
              <w:rPr>
                <w:rFonts w:ascii="Calibri" w:hAnsi="Calibri"/>
                <w:sz w:val="24"/>
                <w:szCs w:val="24"/>
              </w:rPr>
              <w:t>Options to challenge or adjudicate</w:t>
            </w:r>
          </w:p>
          <w:p w14:paraId="7449D01B" w14:textId="77777777" w:rsidR="006F241C" w:rsidRPr="001379ED" w:rsidRDefault="006F241C">
            <w:pPr>
              <w:numPr>
                <w:ilvl w:val="0"/>
                <w:numId w:val="1"/>
              </w:numPr>
              <w:rPr>
                <w:rFonts w:ascii="Calibri" w:hAnsi="Calibri"/>
              </w:rPr>
            </w:pPr>
            <w:r w:rsidRPr="001379ED">
              <w:rPr>
                <w:rFonts w:ascii="Calibri" w:hAnsi="Calibri"/>
                <w:sz w:val="24"/>
                <w:szCs w:val="24"/>
              </w:rPr>
              <w:t>Understanding the different priority claims</w:t>
            </w:r>
          </w:p>
          <w:p w14:paraId="4EC18382" w14:textId="77777777" w:rsidR="006F241C" w:rsidRPr="001379ED" w:rsidRDefault="006F241C">
            <w:pPr>
              <w:numPr>
                <w:ilvl w:val="0"/>
                <w:numId w:val="1"/>
              </w:numPr>
              <w:rPr>
                <w:rFonts w:ascii="Calibri" w:hAnsi="Calibri"/>
              </w:rPr>
            </w:pPr>
            <w:r w:rsidRPr="001379ED">
              <w:rPr>
                <w:rFonts w:ascii="Calibri" w:hAnsi="Calibri"/>
                <w:sz w:val="24"/>
                <w:szCs w:val="24"/>
              </w:rPr>
              <w:t>Assessing claims for distribution purposes</w:t>
            </w:r>
          </w:p>
          <w:p w14:paraId="70DEFB0C" w14:textId="77777777" w:rsidR="006F241C" w:rsidRPr="001379ED" w:rsidRDefault="006F241C">
            <w:pPr>
              <w:numPr>
                <w:ilvl w:val="0"/>
                <w:numId w:val="1"/>
              </w:numPr>
              <w:rPr>
                <w:rFonts w:ascii="Calibri" w:hAnsi="Calibri"/>
              </w:rPr>
            </w:pPr>
            <w:r w:rsidRPr="001379ED">
              <w:rPr>
                <w:rFonts w:ascii="Calibri" w:hAnsi="Calibri"/>
                <w:sz w:val="24"/>
                <w:szCs w:val="24"/>
              </w:rPr>
              <w:t>Dealing with disputes</w:t>
            </w:r>
          </w:p>
          <w:p w14:paraId="3551FFFC" w14:textId="77777777" w:rsidR="006F241C" w:rsidRPr="001379ED" w:rsidRDefault="006F241C">
            <w:pPr>
              <w:numPr>
                <w:ilvl w:val="0"/>
                <w:numId w:val="1"/>
              </w:numPr>
              <w:rPr>
                <w:rFonts w:ascii="Calibri" w:hAnsi="Calibri"/>
              </w:rPr>
            </w:pPr>
            <w:r w:rsidRPr="001379ED">
              <w:rPr>
                <w:rFonts w:ascii="Calibri" w:hAnsi="Calibri"/>
                <w:sz w:val="24"/>
                <w:szCs w:val="24"/>
              </w:rPr>
              <w:t xml:space="preserve">Circulating v Non-circulating assets </w:t>
            </w:r>
          </w:p>
          <w:p w14:paraId="25D62D82" w14:textId="77777777" w:rsidR="006F241C" w:rsidRPr="001379ED" w:rsidRDefault="006F241C">
            <w:pPr>
              <w:numPr>
                <w:ilvl w:val="0"/>
                <w:numId w:val="1"/>
              </w:numPr>
              <w:rPr>
                <w:rFonts w:ascii="Calibri" w:hAnsi="Calibri"/>
              </w:rPr>
            </w:pPr>
            <w:r w:rsidRPr="001379ED">
              <w:rPr>
                <w:rFonts w:ascii="Calibri" w:hAnsi="Calibri"/>
                <w:sz w:val="24"/>
                <w:szCs w:val="24"/>
              </w:rPr>
              <w:t>Notice and advertising requirements</w:t>
            </w:r>
          </w:p>
          <w:p w14:paraId="249C883B" w14:textId="77777777" w:rsidR="006F241C" w:rsidRPr="001379ED" w:rsidRDefault="006F241C" w:rsidP="0009602B">
            <w:pPr>
              <w:rPr>
                <w:rFonts w:ascii="Calibri" w:hAnsi="Calibri"/>
                <w:b/>
                <w:sz w:val="24"/>
                <w:szCs w:val="24"/>
              </w:rPr>
            </w:pPr>
          </w:p>
        </w:tc>
      </w:tr>
      <w:tr w:rsidR="006F241C" w:rsidRPr="001379ED" w14:paraId="5D9E684F" w14:textId="77777777" w:rsidTr="00C13CF5">
        <w:tc>
          <w:tcPr>
            <w:tcW w:w="1176" w:type="dxa"/>
          </w:tcPr>
          <w:p w14:paraId="6C23E26F" w14:textId="77777777" w:rsidR="006F241C" w:rsidRPr="001379ED" w:rsidRDefault="006F241C">
            <w:pPr>
              <w:spacing w:before="100" w:after="100"/>
              <w:rPr>
                <w:rFonts w:ascii="Calibri" w:hAnsi="Calibri"/>
                <w:sz w:val="24"/>
                <w:szCs w:val="24"/>
              </w:rPr>
            </w:pPr>
            <w:r w:rsidRPr="001379ED">
              <w:rPr>
                <w:rFonts w:ascii="Calibri" w:hAnsi="Calibri"/>
                <w:sz w:val="24"/>
                <w:szCs w:val="24"/>
              </w:rPr>
              <w:t>18.00</w:t>
            </w:r>
          </w:p>
        </w:tc>
        <w:tc>
          <w:tcPr>
            <w:tcW w:w="9693" w:type="dxa"/>
          </w:tcPr>
          <w:p w14:paraId="37B2B389" w14:textId="77777777" w:rsidR="006F241C" w:rsidRPr="001379ED" w:rsidRDefault="006F241C">
            <w:pPr>
              <w:spacing w:before="100" w:after="100"/>
              <w:rPr>
                <w:rFonts w:ascii="Calibri" w:hAnsi="Calibri"/>
                <w:b/>
                <w:sz w:val="24"/>
                <w:szCs w:val="24"/>
              </w:rPr>
            </w:pPr>
            <w:r w:rsidRPr="001379ED">
              <w:rPr>
                <w:rFonts w:ascii="Calibri" w:hAnsi="Calibri"/>
                <w:b/>
                <w:sz w:val="24"/>
                <w:szCs w:val="24"/>
              </w:rPr>
              <w:t>Close</w:t>
            </w:r>
          </w:p>
        </w:tc>
      </w:tr>
    </w:tbl>
    <w:p w14:paraId="6761E5D5" w14:textId="77777777" w:rsidR="0012088C" w:rsidRPr="001379ED" w:rsidRDefault="0012088C" w:rsidP="0012088C">
      <w:pPr>
        <w:jc w:val="center"/>
        <w:rPr>
          <w:rFonts w:ascii="Calibri" w:hAnsi="Calibri"/>
          <w:b/>
          <w:sz w:val="28"/>
          <w:szCs w:val="28"/>
        </w:rPr>
      </w:pPr>
      <w:r w:rsidRPr="001379ED">
        <w:rPr>
          <w:rFonts w:ascii="Calibri" w:hAnsi="Calibri"/>
          <w:b/>
          <w:sz w:val="28"/>
          <w:szCs w:val="28"/>
        </w:rPr>
        <w:t>Who Should Attend?</w:t>
      </w:r>
    </w:p>
    <w:p w14:paraId="31BB1C95" w14:textId="77777777" w:rsidR="00C532E4" w:rsidRDefault="0012088C" w:rsidP="0012088C">
      <w:pPr>
        <w:rPr>
          <w:rFonts w:ascii="Calibri" w:hAnsi="Calibri"/>
          <w:sz w:val="20"/>
          <w:szCs w:val="20"/>
        </w:rPr>
      </w:pPr>
      <w:r w:rsidRPr="001379ED">
        <w:rPr>
          <w:rFonts w:ascii="Calibri" w:hAnsi="Calibri"/>
          <w:sz w:val="20"/>
          <w:szCs w:val="20"/>
        </w:rPr>
        <w:t xml:space="preserve">Insolvency Accountants, Insolvency Lawyers, Liquidators, Administrators, Trustees, Turnaround Professionals, Debt Recovery Professionals, Barristers, Academics, Students, Valuers, CPA’s, Credit Managers, Bankers, Litigation Funders, PI Insurers, Regulators, </w:t>
      </w:r>
      <w:r w:rsidR="00171F74" w:rsidRPr="001379ED">
        <w:rPr>
          <w:rFonts w:ascii="Calibri" w:hAnsi="Calibri"/>
          <w:sz w:val="20"/>
          <w:szCs w:val="20"/>
        </w:rPr>
        <w:t xml:space="preserve">Government Agencies: </w:t>
      </w:r>
      <w:r w:rsidRPr="001379ED">
        <w:rPr>
          <w:rFonts w:ascii="Calibri" w:hAnsi="Calibri"/>
          <w:sz w:val="20"/>
          <w:szCs w:val="20"/>
        </w:rPr>
        <w:t>ASIC, FEG, ATO, Treasury.</w:t>
      </w:r>
    </w:p>
    <w:p w14:paraId="4202FEDD" w14:textId="77777777" w:rsidR="0012088C" w:rsidRPr="00D42A17" w:rsidRDefault="0012088C" w:rsidP="008F3F95">
      <w:pPr>
        <w:rPr>
          <w:rFonts w:ascii="Calibri" w:hAnsi="Calibri"/>
          <w:sz w:val="10"/>
          <w:szCs w:val="10"/>
        </w:rPr>
      </w:pPr>
    </w:p>
    <w:p w14:paraId="07F83297" w14:textId="51A82186" w:rsidR="0012088C" w:rsidRDefault="0012088C" w:rsidP="0012088C">
      <w:pPr>
        <w:rPr>
          <w:rFonts w:ascii="Calibri" w:hAnsi="Calibri"/>
          <w:sz w:val="20"/>
          <w:szCs w:val="20"/>
        </w:rPr>
      </w:pPr>
      <w:r w:rsidRPr="001379ED">
        <w:rPr>
          <w:rFonts w:ascii="Calibri" w:hAnsi="Calibri"/>
          <w:sz w:val="28"/>
          <w:szCs w:val="28"/>
        </w:rPr>
        <w:t xml:space="preserve">*My </w:t>
      </w:r>
      <w:r w:rsidRPr="001379ED">
        <w:rPr>
          <w:rFonts w:ascii="Calibri" w:hAnsi="Calibri"/>
          <w:b/>
          <w:i/>
          <w:sz w:val="28"/>
          <w:szCs w:val="28"/>
        </w:rPr>
        <w:t>Team Discount</w:t>
      </w:r>
      <w:r w:rsidRPr="001379ED">
        <w:rPr>
          <w:rFonts w:ascii="Calibri" w:hAnsi="Calibri"/>
          <w:sz w:val="20"/>
          <w:szCs w:val="20"/>
        </w:rPr>
        <w:t xml:space="preserve"> is the </w:t>
      </w:r>
      <w:r w:rsidR="00CA161A">
        <w:rPr>
          <w:rFonts w:ascii="Calibri" w:hAnsi="Calibri"/>
          <w:sz w:val="20"/>
          <w:szCs w:val="20"/>
        </w:rPr>
        <w:t xml:space="preserve">best value </w:t>
      </w:r>
      <w:r w:rsidRPr="001379ED">
        <w:rPr>
          <w:rFonts w:ascii="Calibri" w:hAnsi="Calibri"/>
          <w:sz w:val="20"/>
          <w:szCs w:val="20"/>
        </w:rPr>
        <w:t>registration option.  To access it you simply register six attendees for the price of five.  Those six registrations do not need to be at the same venue, and they can be from different firms, as long as there is a single, non-refundable payment.  That means that the discount is available to everyone, whether you have six staff or not, as long as you find someone to team up with. Registrations cannot be shared.</w:t>
      </w:r>
      <w:r w:rsidR="00AA3279" w:rsidRPr="001379ED">
        <w:rPr>
          <w:rFonts w:ascii="Calibri" w:hAnsi="Calibri"/>
          <w:sz w:val="20"/>
          <w:szCs w:val="20"/>
        </w:rPr>
        <w:t xml:space="preserve"> This team discount process presents you with a valuable  relationship and marketing tool, with a benefit for all to connect with potential or existing clients!</w:t>
      </w:r>
    </w:p>
    <w:p w14:paraId="011F40D7" w14:textId="77777777" w:rsidR="005315CB" w:rsidRPr="00D42A17" w:rsidRDefault="005315CB">
      <w:pPr>
        <w:rPr>
          <w:rFonts w:ascii="Calibri" w:hAnsi="Calibri"/>
          <w:sz w:val="10"/>
          <w:szCs w:val="10"/>
        </w:rPr>
      </w:pPr>
    </w:p>
    <w:p w14:paraId="27073300" w14:textId="77777777" w:rsidR="00C532E4" w:rsidRPr="00D42A17" w:rsidRDefault="00000971" w:rsidP="00C05DE4">
      <w:pPr>
        <w:rPr>
          <w:rFonts w:ascii="Calibri" w:hAnsi="Calibri"/>
        </w:rPr>
      </w:pPr>
      <w:r w:rsidRPr="00D42A17">
        <w:rPr>
          <w:rFonts w:ascii="Calibri" w:hAnsi="Calibri"/>
        </w:rPr>
        <w:t xml:space="preserve">Please </w:t>
      </w:r>
      <w:r w:rsidR="00AA3279" w:rsidRPr="00D42A17">
        <w:rPr>
          <w:rFonts w:ascii="Calibri" w:hAnsi="Calibri"/>
        </w:rPr>
        <w:t xml:space="preserve">pass on </w:t>
      </w:r>
      <w:r w:rsidRPr="00D42A17">
        <w:rPr>
          <w:rFonts w:ascii="Calibri" w:hAnsi="Calibri"/>
        </w:rPr>
        <w:t>this program on to any of your contacts who might be interested in attending</w:t>
      </w:r>
      <w:r w:rsidR="00AA3279" w:rsidRPr="00D42A17">
        <w:rPr>
          <w:rFonts w:ascii="Calibri" w:hAnsi="Calibri"/>
        </w:rPr>
        <w:t>.</w:t>
      </w:r>
      <w:r w:rsidRPr="00D42A17">
        <w:rPr>
          <w:rFonts w:ascii="Calibri" w:hAnsi="Calibri"/>
        </w:rPr>
        <w:t xml:space="preserve"> </w:t>
      </w:r>
    </w:p>
    <w:p w14:paraId="5A3C57FF" w14:textId="77777777" w:rsidR="00C05DE4" w:rsidRPr="00D42A17" w:rsidRDefault="00C05DE4" w:rsidP="00C05DE4">
      <w:pPr>
        <w:rPr>
          <w:rFonts w:ascii="Calibri" w:hAnsi="Calibri"/>
        </w:rPr>
      </w:pPr>
      <w:r w:rsidRPr="00D42A17">
        <w:rPr>
          <w:rFonts w:ascii="Calibri" w:hAnsi="Calibri"/>
        </w:rPr>
        <w:t xml:space="preserve">For more information including terms &amp; conditions, registration details, sponsorship, presenting opportunities – or  any other suggestions, go to </w:t>
      </w:r>
      <w:hyperlink r:id="rId7">
        <w:r w:rsidRPr="00D42A17">
          <w:rPr>
            <w:rFonts w:ascii="Calibri" w:hAnsi="Calibri"/>
            <w:color w:val="0000FF"/>
            <w:u w:val="single"/>
          </w:rPr>
          <w:t>www.traillandassociates.com</w:t>
        </w:r>
      </w:hyperlink>
      <w:r w:rsidRPr="00D42A17">
        <w:rPr>
          <w:rFonts w:ascii="Calibri" w:hAnsi="Calibri"/>
        </w:rPr>
        <w:t xml:space="preserve"> </w:t>
      </w:r>
    </w:p>
    <w:p w14:paraId="5808C48A" w14:textId="77777777" w:rsidR="00C05DE4" w:rsidRPr="00D42A17" w:rsidRDefault="00C05DE4" w:rsidP="00C05DE4">
      <w:pPr>
        <w:rPr>
          <w:rFonts w:ascii="Calibri" w:hAnsi="Calibri"/>
          <w:lang w:val="fr-FR"/>
        </w:rPr>
      </w:pPr>
      <w:r w:rsidRPr="00D42A17">
        <w:rPr>
          <w:rFonts w:ascii="Calibri" w:hAnsi="Calibri"/>
          <w:lang w:val="fr-FR"/>
        </w:rPr>
        <w:t xml:space="preserve">Mobile: </w:t>
      </w:r>
      <w:r w:rsidRPr="00D42A17">
        <w:rPr>
          <w:rFonts w:ascii="Calibri" w:hAnsi="Calibri"/>
          <w:b/>
          <w:lang w:val="fr-FR"/>
        </w:rPr>
        <w:t>0405 136 001</w:t>
      </w:r>
      <w:r w:rsidRPr="00D42A17">
        <w:rPr>
          <w:rFonts w:ascii="Calibri" w:hAnsi="Calibri"/>
          <w:lang w:val="fr-FR"/>
        </w:rPr>
        <w:t xml:space="preserve">  Email  </w:t>
      </w:r>
      <w:hyperlink r:id="rId8">
        <w:r w:rsidRPr="00D42A17">
          <w:rPr>
            <w:rFonts w:ascii="Calibri" w:hAnsi="Calibri"/>
            <w:color w:val="0000FF"/>
            <w:u w:val="single"/>
            <w:lang w:val="fr-FR"/>
          </w:rPr>
          <w:t>rtraill@traillassociates.com.au</w:t>
        </w:r>
      </w:hyperlink>
    </w:p>
    <w:p w14:paraId="6368BDB1" w14:textId="77777777" w:rsidR="00C05DE4" w:rsidRDefault="008F3F95" w:rsidP="00C05DE4">
      <w:pPr>
        <w:rPr>
          <w:sz w:val="18"/>
          <w:szCs w:val="18"/>
          <w:lang w:val="fr-FR"/>
        </w:rPr>
      </w:pPr>
      <w:r w:rsidRPr="0007500B">
        <w:rPr>
          <w:rFonts w:ascii="Calibri" w:hAnsi="Calibri" w:cs="Calibri"/>
          <w:noProof/>
          <w:color w:val="000000"/>
          <w:sz w:val="22"/>
          <w:szCs w:val="22"/>
        </w:rPr>
        <w:drawing>
          <wp:anchor distT="0" distB="0" distL="114300" distR="114300" simplePos="0" relativeHeight="251682816" behindDoc="0" locked="0" layoutInCell="1" hidden="0" allowOverlap="1" wp14:anchorId="7199E03B" wp14:editId="373C2461">
            <wp:simplePos x="0" y="0"/>
            <wp:positionH relativeFrom="margin">
              <wp:posOffset>4855210</wp:posOffset>
            </wp:positionH>
            <wp:positionV relativeFrom="paragraph">
              <wp:posOffset>73025</wp:posOffset>
            </wp:positionV>
            <wp:extent cx="1473835" cy="381635"/>
            <wp:effectExtent l="0" t="0" r="0" b="0"/>
            <wp:wrapSquare wrapText="bothSides" distT="0" distB="0" distL="114300" distR="114300"/>
            <wp:docPr id="22" name="image3.jpg" descr="D:\Sue\Work Stuff\Traill Assoc\New Traill Logo.jpg"/>
            <wp:cNvGraphicFramePr/>
            <a:graphic xmlns:a="http://schemas.openxmlformats.org/drawingml/2006/main">
              <a:graphicData uri="http://schemas.openxmlformats.org/drawingml/2006/picture">
                <pic:pic xmlns:pic="http://schemas.openxmlformats.org/drawingml/2006/picture">
                  <pic:nvPicPr>
                    <pic:cNvPr id="0" name="image3.jpg" descr="D:\Sue\Work Stuff\Traill Assoc\New Traill Logo.jpg"/>
                    <pic:cNvPicPr preferRelativeResize="0"/>
                  </pic:nvPicPr>
                  <pic:blipFill>
                    <a:blip r:embed="rId6"/>
                    <a:srcRect/>
                    <a:stretch>
                      <a:fillRect/>
                    </a:stretch>
                  </pic:blipFill>
                  <pic:spPr>
                    <a:xfrm>
                      <a:off x="0" y="0"/>
                      <a:ext cx="1473835" cy="381635"/>
                    </a:xfrm>
                    <a:prstGeom prst="rect">
                      <a:avLst/>
                    </a:prstGeom>
                    <a:ln/>
                  </pic:spPr>
                </pic:pic>
              </a:graphicData>
            </a:graphic>
            <wp14:sizeRelH relativeFrom="margin">
              <wp14:pctWidth>0</wp14:pctWidth>
            </wp14:sizeRelH>
            <wp14:sizeRelV relativeFrom="margin">
              <wp14:pctHeight>0</wp14:pctHeight>
            </wp14:sizeRelV>
          </wp:anchor>
        </w:drawing>
      </w:r>
    </w:p>
    <w:p w14:paraId="39F17BDD" w14:textId="77777777" w:rsidR="008F3F95" w:rsidRDefault="008F3F95" w:rsidP="00C05DE4">
      <w:pPr>
        <w:rPr>
          <w:sz w:val="18"/>
          <w:szCs w:val="18"/>
          <w:lang w:val="fr-FR"/>
        </w:rPr>
      </w:pPr>
    </w:p>
    <w:p w14:paraId="1D020581" w14:textId="5DA2BFCA" w:rsidR="0007500B" w:rsidRDefault="008F3F95" w:rsidP="00D42A17">
      <w:pPr>
        <w:pBdr>
          <w:top w:val="nil"/>
          <w:left w:val="nil"/>
          <w:bottom w:val="nil"/>
          <w:right w:val="nil"/>
          <w:between w:val="nil"/>
        </w:pBdr>
        <w:spacing w:line="276" w:lineRule="auto"/>
        <w:outlineLvl w:val="0"/>
        <w:rPr>
          <w:sz w:val="18"/>
          <w:szCs w:val="18"/>
        </w:rPr>
      </w:pPr>
      <w:r w:rsidRPr="0007500B">
        <w:rPr>
          <w:rFonts w:asciiTheme="majorHAnsi" w:hAnsiTheme="majorHAnsi" w:cs="Calibri"/>
          <w:sz w:val="18"/>
          <w:szCs w:val="18"/>
        </w:rPr>
        <w:t>ABN: 47085482533</w:t>
      </w:r>
      <w:r w:rsidRPr="0007500B">
        <w:rPr>
          <w:rFonts w:asciiTheme="majorHAnsi" w:hAnsiTheme="majorHAnsi" w:cs="Calibri"/>
          <w:sz w:val="18"/>
          <w:szCs w:val="18"/>
        </w:rPr>
        <w:tab/>
      </w:r>
      <w:r w:rsidR="00D42A17">
        <w:rPr>
          <w:rFonts w:asciiTheme="majorHAnsi" w:hAnsiTheme="majorHAnsi" w:cs="Calibri"/>
          <w:sz w:val="18"/>
          <w:szCs w:val="18"/>
        </w:rPr>
        <w:t xml:space="preserve">                </w:t>
      </w:r>
      <w:r w:rsidR="00C05DE4">
        <w:rPr>
          <w:sz w:val="18"/>
          <w:szCs w:val="18"/>
        </w:rPr>
        <w:t xml:space="preserve">Program is Copyright </w:t>
      </w:r>
      <w:r w:rsidR="00C532E4">
        <w:rPr>
          <w:sz w:val="18"/>
          <w:szCs w:val="18"/>
        </w:rPr>
        <w:t>Traill &amp; Associates © 2019</w:t>
      </w:r>
    </w:p>
    <w:p w14:paraId="415D0D76" w14:textId="332644CD" w:rsidR="00111988" w:rsidRDefault="00111988" w:rsidP="00111988">
      <w:pPr>
        <w:jc w:val="center"/>
        <w:rPr>
          <w:rFonts w:asciiTheme="majorHAnsi" w:hAnsiTheme="majorHAnsi"/>
          <w:b/>
          <w:color w:val="000000"/>
          <w:sz w:val="32"/>
          <w:szCs w:val="32"/>
        </w:rPr>
      </w:pPr>
      <w:r>
        <w:rPr>
          <w:rFonts w:asciiTheme="majorHAnsi" w:hAnsiTheme="majorHAnsi"/>
          <w:b/>
          <w:color w:val="000000"/>
        </w:rPr>
        <w:lastRenderedPageBreak/>
        <w:t>PRESENTERS INCLUDE</w:t>
      </w:r>
      <w:r w:rsidRPr="00124223">
        <w:rPr>
          <w:rFonts w:asciiTheme="majorHAnsi" w:hAnsiTheme="majorHAnsi"/>
          <w:b/>
          <w:color w:val="000000"/>
        </w:rPr>
        <w:t>:</w:t>
      </w:r>
    </w:p>
    <w:p w14:paraId="4CB2E1C2" w14:textId="77777777" w:rsidR="00111988" w:rsidRDefault="00111988" w:rsidP="00111988">
      <w:pPr>
        <w:rPr>
          <w:rFonts w:asciiTheme="majorHAnsi" w:hAnsiTheme="majorHAnsi"/>
          <w:b/>
          <w:color w:val="000000"/>
          <w:sz w:val="32"/>
          <w:szCs w:val="32"/>
        </w:rPr>
      </w:pPr>
      <w:r>
        <w:rPr>
          <w:rFonts w:eastAsia="Times New Roman"/>
          <w:noProof/>
        </w:rPr>
        <w:drawing>
          <wp:anchor distT="0" distB="0" distL="114300" distR="114300" simplePos="0" relativeHeight="251701248" behindDoc="0" locked="0" layoutInCell="1" allowOverlap="1" wp14:anchorId="1363DCFA" wp14:editId="79212BA6">
            <wp:simplePos x="0" y="0"/>
            <wp:positionH relativeFrom="column">
              <wp:posOffset>52070</wp:posOffset>
            </wp:positionH>
            <wp:positionV relativeFrom="paragraph">
              <wp:posOffset>128270</wp:posOffset>
            </wp:positionV>
            <wp:extent cx="1435100" cy="1435100"/>
            <wp:effectExtent l="0" t="0" r="12700" b="12700"/>
            <wp:wrapThrough wrapText="bothSides">
              <wp:wrapPolygon edited="0">
                <wp:start x="0" y="0"/>
                <wp:lineTo x="0" y="21409"/>
                <wp:lineTo x="21409" y="21409"/>
                <wp:lineTo x="21409" y="0"/>
                <wp:lineTo x="0" y="0"/>
              </wp:wrapPolygon>
            </wp:wrapThrough>
            <wp:docPr id="24" name="Picture 24" descr="https://www.nortonrosefulbright.com/-/media/images/nrf/nrfweb/cvs/uploaded/natasha-toholka150x150png.png?revision=4d435bb1-89e1-4230-9ad9-3803917ea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rtonrosefulbright.com/-/media/images/nrf/nrfweb/cvs/uploaded/natasha-toholka150x150png.png?revision=4d435bb1-89e1-4230-9ad9-3803917ea7f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AD4A" w14:textId="77777777" w:rsidR="00111988" w:rsidRPr="00856413" w:rsidRDefault="00111988" w:rsidP="00111988">
      <w:pPr>
        <w:rPr>
          <w:rFonts w:eastAsia="Times New Roman"/>
        </w:rPr>
      </w:pPr>
      <w:r>
        <w:rPr>
          <w:rFonts w:asciiTheme="majorHAnsi" w:hAnsiTheme="majorHAnsi"/>
          <w:b/>
          <w:color w:val="000000"/>
          <w:sz w:val="32"/>
          <w:szCs w:val="32"/>
        </w:rPr>
        <w:t>Natasha Toholka,</w:t>
      </w:r>
      <w:r w:rsidRPr="00E420E2">
        <w:rPr>
          <w:rFonts w:asciiTheme="majorHAnsi" w:hAnsiTheme="majorHAnsi"/>
          <w:b/>
          <w:color w:val="000000"/>
          <w:sz w:val="32"/>
          <w:szCs w:val="32"/>
        </w:rPr>
        <w:t xml:space="preserve"> </w:t>
      </w:r>
      <w:r>
        <w:rPr>
          <w:rFonts w:asciiTheme="majorHAnsi" w:hAnsiTheme="majorHAnsi"/>
          <w:b/>
          <w:color w:val="000000"/>
          <w:sz w:val="32"/>
          <w:szCs w:val="32"/>
        </w:rPr>
        <w:t>Partner, Norton Rose Fulbright</w:t>
      </w:r>
    </w:p>
    <w:p w14:paraId="5A83B33E" w14:textId="77777777" w:rsidR="00111988" w:rsidRDefault="00111988" w:rsidP="00111988">
      <w:pPr>
        <w:jc w:val="both"/>
        <w:rPr>
          <w:rFonts w:ascii="Calibri" w:hAnsi="Calibri" w:cs="Calibri"/>
          <w:color w:val="000000"/>
        </w:rPr>
      </w:pPr>
    </w:p>
    <w:p w14:paraId="098036AE" w14:textId="77777777" w:rsidR="00111988" w:rsidRDefault="00111988" w:rsidP="00111988">
      <w:pPr>
        <w:jc w:val="both"/>
        <w:rPr>
          <w:rFonts w:ascii="Calibri" w:hAnsi="Calibri" w:cs="Calibri"/>
          <w:color w:val="000000"/>
        </w:rPr>
      </w:pPr>
    </w:p>
    <w:p w14:paraId="16BE6CEE" w14:textId="77777777" w:rsidR="00111988" w:rsidRPr="00856413" w:rsidRDefault="00111988" w:rsidP="00111988">
      <w:pPr>
        <w:jc w:val="both"/>
        <w:rPr>
          <w:rFonts w:ascii="Calibri" w:hAnsi="Calibri" w:cs="Calibri"/>
          <w:color w:val="000000"/>
        </w:rPr>
      </w:pPr>
      <w:r w:rsidRPr="00856413">
        <w:rPr>
          <w:rFonts w:ascii="Calibri" w:hAnsi="Calibri" w:cs="Calibri"/>
          <w:color w:val="000000"/>
          <w:lang w:val="en-GB"/>
        </w:rPr>
        <w:t>Natasha Toholka is a financial services, restructuring and insolvency lawyer based in Melbourne. </w:t>
      </w:r>
      <w:r w:rsidRPr="00856413">
        <w:rPr>
          <w:rFonts w:ascii="Calibri" w:hAnsi="Calibri" w:cs="Calibri"/>
          <w:color w:val="000000"/>
        </w:rPr>
        <w:t>Natasha also advises clients operating in the technology and innovation sector.</w:t>
      </w:r>
    </w:p>
    <w:p w14:paraId="2265B763"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Natasha has nearly 20 years' experience working closely with financiers and insolvency practitioners. She advises clients on all aspects of banking and finance litigation, security enforcement, insolvency (reconstructions, workouts, formal appointments and cross-border), general commercial disputes, disciplinary proceedings and regulatory investigations.   </w:t>
      </w:r>
    </w:p>
    <w:p w14:paraId="33390B09"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Natasha is the Victorian deputy co-chair of the Law Council of Australia Insolvency &amp; Reconstruction Committee and an ARITA fellow.</w:t>
      </w:r>
      <w:r>
        <w:rPr>
          <w:rFonts w:ascii="Calibri" w:hAnsi="Calibri" w:cs="Calibri"/>
          <w:color w:val="000000"/>
        </w:rPr>
        <w:t xml:space="preserve"> Natasha will present in Melbourne</w:t>
      </w:r>
    </w:p>
    <w:p w14:paraId="1FA9D002" w14:textId="77777777" w:rsidR="00111988" w:rsidRDefault="00111988" w:rsidP="00111988">
      <w:pPr>
        <w:spacing w:after="200" w:line="276" w:lineRule="auto"/>
        <w:rPr>
          <w:rFonts w:asciiTheme="majorHAnsi" w:hAnsiTheme="majorHAnsi"/>
          <w:b/>
          <w:color w:val="000000"/>
        </w:rPr>
      </w:pPr>
    </w:p>
    <w:p w14:paraId="4AAE9839" w14:textId="77777777" w:rsidR="00111988" w:rsidRDefault="00111988" w:rsidP="00111988">
      <w:pPr>
        <w:rPr>
          <w:rFonts w:eastAsia="Times New Roman"/>
        </w:rPr>
      </w:pPr>
      <w:r>
        <w:rPr>
          <w:rFonts w:eastAsia="Times New Roman"/>
          <w:noProof/>
        </w:rPr>
        <w:drawing>
          <wp:anchor distT="0" distB="0" distL="114300" distR="114300" simplePos="0" relativeHeight="251694080" behindDoc="0" locked="0" layoutInCell="1" allowOverlap="1" wp14:anchorId="7AC9BB74" wp14:editId="282949C7">
            <wp:simplePos x="0" y="0"/>
            <wp:positionH relativeFrom="column">
              <wp:posOffset>0</wp:posOffset>
            </wp:positionH>
            <wp:positionV relativeFrom="paragraph">
              <wp:posOffset>0</wp:posOffset>
            </wp:positionV>
            <wp:extent cx="1435100" cy="1435100"/>
            <wp:effectExtent l="0" t="0" r="12700" b="12700"/>
            <wp:wrapThrough wrapText="bothSides">
              <wp:wrapPolygon edited="0">
                <wp:start x="0" y="0"/>
                <wp:lineTo x="0" y="21409"/>
                <wp:lineTo x="21409" y="21409"/>
                <wp:lineTo x="21409" y="0"/>
                <wp:lineTo x="0" y="0"/>
              </wp:wrapPolygon>
            </wp:wrapThrough>
            <wp:docPr id="16" name="Picture 16" descr="aura Jo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ra Joh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291E8" w14:textId="77777777" w:rsidR="00111988" w:rsidRDefault="00111988" w:rsidP="00111988">
      <w:pPr>
        <w:jc w:val="both"/>
        <w:rPr>
          <w:rFonts w:asciiTheme="majorHAnsi" w:hAnsiTheme="majorHAnsi"/>
          <w:b/>
          <w:color w:val="000000"/>
          <w:sz w:val="32"/>
          <w:szCs w:val="32"/>
        </w:rPr>
      </w:pPr>
      <w:r>
        <w:rPr>
          <w:rFonts w:asciiTheme="majorHAnsi" w:hAnsiTheme="majorHAnsi"/>
          <w:b/>
          <w:color w:val="000000"/>
          <w:sz w:val="32"/>
          <w:szCs w:val="32"/>
        </w:rPr>
        <w:t xml:space="preserve">Laura </w:t>
      </w:r>
      <w:r w:rsidRPr="00E420E2">
        <w:rPr>
          <w:rFonts w:asciiTheme="majorHAnsi" w:hAnsiTheme="majorHAnsi"/>
          <w:b/>
          <w:color w:val="000000"/>
          <w:sz w:val="32"/>
          <w:szCs w:val="32"/>
        </w:rPr>
        <w:t>John</w:t>
      </w:r>
      <w:r>
        <w:rPr>
          <w:rFonts w:asciiTheme="majorHAnsi" w:hAnsiTheme="majorHAnsi"/>
          <w:b/>
          <w:color w:val="000000"/>
          <w:sz w:val="32"/>
          <w:szCs w:val="32"/>
        </w:rPr>
        <w:t>s, Partner, Norton Rose Fulbright</w:t>
      </w:r>
    </w:p>
    <w:p w14:paraId="0E744AE6" w14:textId="77777777" w:rsidR="00111988" w:rsidRDefault="00111988" w:rsidP="00111988">
      <w:pPr>
        <w:jc w:val="both"/>
        <w:rPr>
          <w:rFonts w:ascii="Calibri" w:hAnsi="Calibri" w:cs="Calibri"/>
          <w:color w:val="000000"/>
        </w:rPr>
      </w:pPr>
    </w:p>
    <w:p w14:paraId="1E6A1653"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Laura Johns is a restructuring and insolvency lawyer based in Sydney.</w:t>
      </w:r>
    </w:p>
    <w:p w14:paraId="66E72D8A"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has extensive experience in insolvency and banking dispute resolution. Laura advises Australia's leading banks and other financial clients on complex corporate insolvency processes, litigation and recovery matters.</w:t>
      </w:r>
    </w:p>
    <w:p w14:paraId="4DCAFA99"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Laura acts for banks, insolvency practitioners, companies and creditors on issues connected with companies in financial distress and has assisted clients on a variety of insolvency and restructuring assignments. She regularly advises on security enforcement, receiverships, voluntary administrations and liquidations.</w:t>
      </w:r>
    </w:p>
    <w:p w14:paraId="7EFC95E5"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Laura has significant experience with professional negligence claims on behalf of banking clients, in particular, against valuers. She is also regularly involved in dealing with security enforcement litigation, matters involving AFCA complaints, fraud related matters and general banking and insolvency related litigation in the Supreme Court and Federal Court.</w:t>
      </w:r>
    </w:p>
    <w:p w14:paraId="3B0F7BFC"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 xml:space="preserve">Laura has completed three secondments in house at an Australian Bank. She regularly presents and writes on insolvency, </w:t>
      </w:r>
      <w:r>
        <w:rPr>
          <w:rFonts w:ascii="Calibri" w:hAnsi="Calibri" w:cs="Calibri"/>
          <w:color w:val="000000"/>
        </w:rPr>
        <w:t xml:space="preserve">litigation and recovery matters including: </w:t>
      </w:r>
      <w:hyperlink r:id="rId11" w:tooltip="Banking Code of Practice" w:history="1">
        <w:r w:rsidRPr="00FC788F">
          <w:rPr>
            <w:rFonts w:ascii="Calibri" w:hAnsi="Calibri" w:cs="Calibri"/>
            <w:color w:val="000000"/>
          </w:rPr>
          <w:t>Banking Code of Practice</w:t>
        </w:r>
      </w:hyperlink>
      <w:r>
        <w:rPr>
          <w:rFonts w:ascii="Calibri" w:hAnsi="Calibri" w:cs="Calibri"/>
          <w:color w:val="000000"/>
        </w:rPr>
        <w:t xml:space="preserve">;  </w:t>
      </w:r>
      <w:hyperlink r:id="rId12" w:tooltip="Ipso Facto Law Reform" w:history="1">
        <w:r w:rsidRPr="00FC788F">
          <w:rPr>
            <w:rFonts w:ascii="Calibri" w:hAnsi="Calibri" w:cs="Calibri"/>
            <w:color w:val="000000"/>
          </w:rPr>
          <w:t>Ipso Facto Law Reform</w:t>
        </w:r>
      </w:hyperlink>
      <w:r>
        <w:rPr>
          <w:rFonts w:ascii="Calibri" w:hAnsi="Calibri" w:cs="Calibri"/>
          <w:color w:val="000000"/>
        </w:rPr>
        <w:t>. Laura will present in Sydney.</w:t>
      </w:r>
    </w:p>
    <w:p w14:paraId="5C144DE2" w14:textId="77777777" w:rsidR="00111988" w:rsidRDefault="00111988" w:rsidP="00111988">
      <w:pPr>
        <w:jc w:val="both"/>
        <w:rPr>
          <w:rFonts w:ascii="Calibri" w:hAnsi="Calibri" w:cs="Calibri"/>
          <w:color w:val="000000"/>
        </w:rPr>
      </w:pPr>
    </w:p>
    <w:p w14:paraId="09C7BAE5" w14:textId="77777777" w:rsidR="00111988" w:rsidRPr="00FC788F" w:rsidRDefault="00111988" w:rsidP="00111988">
      <w:pPr>
        <w:jc w:val="both"/>
        <w:rPr>
          <w:rFonts w:ascii="Calibri" w:hAnsi="Calibri" w:cs="Calibri"/>
          <w:color w:val="000000"/>
        </w:rPr>
      </w:pPr>
      <w:r>
        <w:rPr>
          <w:rFonts w:eastAsia="Times New Roman"/>
          <w:noProof/>
        </w:rPr>
        <w:drawing>
          <wp:anchor distT="0" distB="0" distL="114300" distR="114300" simplePos="0" relativeHeight="251698176" behindDoc="0" locked="0" layoutInCell="1" allowOverlap="1" wp14:anchorId="2181C19F" wp14:editId="1118DB71">
            <wp:simplePos x="0" y="0"/>
            <wp:positionH relativeFrom="column">
              <wp:posOffset>52705</wp:posOffset>
            </wp:positionH>
            <wp:positionV relativeFrom="paragraph">
              <wp:posOffset>68580</wp:posOffset>
            </wp:positionV>
            <wp:extent cx="1435100" cy="1435100"/>
            <wp:effectExtent l="0" t="0" r="12700" b="12700"/>
            <wp:wrapThrough wrapText="bothSides">
              <wp:wrapPolygon edited="0">
                <wp:start x="0" y="0"/>
                <wp:lineTo x="0" y="21409"/>
                <wp:lineTo x="21409" y="21409"/>
                <wp:lineTo x="21409" y="0"/>
                <wp:lineTo x="0" y="0"/>
              </wp:wrapPolygon>
            </wp:wrapThrough>
            <wp:docPr id="2" name="Picture 2" descr="ark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hnei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000000"/>
          <w:sz w:val="32"/>
          <w:szCs w:val="32"/>
        </w:rPr>
        <w:t>Mark Schneider, Partner, Norton Rose Fulbright</w:t>
      </w:r>
    </w:p>
    <w:p w14:paraId="4E598728" w14:textId="77777777" w:rsidR="00111988" w:rsidRDefault="00111988" w:rsidP="00111988">
      <w:pPr>
        <w:rPr>
          <w:rFonts w:ascii="Calibri" w:hAnsi="Calibri" w:cs="Calibri"/>
          <w:color w:val="000000"/>
        </w:rPr>
      </w:pPr>
    </w:p>
    <w:p w14:paraId="5BA2EA90" w14:textId="77777777" w:rsidR="00111988" w:rsidRPr="00856413" w:rsidRDefault="00111988" w:rsidP="00111988">
      <w:pPr>
        <w:rPr>
          <w:rFonts w:ascii="Calibri" w:hAnsi="Calibri"/>
          <w:color w:val="000000"/>
        </w:rPr>
      </w:pPr>
      <w:r w:rsidRPr="00856413">
        <w:rPr>
          <w:rFonts w:ascii="Calibri" w:hAnsi="Calibri"/>
          <w:color w:val="000000"/>
          <w:lang w:val="en"/>
        </w:rPr>
        <w:t>Mark Schneider is a corporate restructuring, insolvency, commercial and banking litigation lawyer based in Brisbane.</w:t>
      </w:r>
    </w:p>
    <w:p w14:paraId="140D78C5" w14:textId="77777777" w:rsidR="00111988" w:rsidRPr="00856413" w:rsidRDefault="00111988" w:rsidP="00111988">
      <w:pPr>
        <w:rPr>
          <w:rFonts w:ascii="Calibri" w:hAnsi="Calibri"/>
          <w:color w:val="000000"/>
        </w:rPr>
      </w:pPr>
      <w:r w:rsidRPr="00856413">
        <w:rPr>
          <w:rFonts w:ascii="Calibri" w:hAnsi="Calibri"/>
          <w:color w:val="000000"/>
          <w:lang w:val="en"/>
        </w:rPr>
        <w:t>Mark focuses on resolving disputes, advising both banks and insolvency practitioners in relation to all aspects of the enforcement of securities and the realisation of distressed assets in Australia and internationally.</w:t>
      </w:r>
    </w:p>
    <w:p w14:paraId="63DEEAF7" w14:textId="77777777" w:rsidR="00111988" w:rsidRPr="00856413" w:rsidRDefault="00111988" w:rsidP="00111988">
      <w:pPr>
        <w:rPr>
          <w:rFonts w:ascii="Calibri" w:hAnsi="Calibri"/>
          <w:color w:val="000000"/>
        </w:rPr>
      </w:pPr>
      <w:r w:rsidRPr="00856413">
        <w:rPr>
          <w:rFonts w:ascii="Calibri" w:hAnsi="Calibri"/>
          <w:color w:val="000000"/>
          <w:lang w:val="en"/>
        </w:rPr>
        <w:t>Mark has advised insolvency practitioners, secured and unsecured creditors including financial institutions and directors in relation to debt recovery, security enforcement, restructuring, formal insolvency procedures and dispute resolution throughout Australia and in Europe.</w:t>
      </w:r>
    </w:p>
    <w:p w14:paraId="79E8F7EB" w14:textId="77777777" w:rsidR="00111988" w:rsidRPr="00856413" w:rsidRDefault="00111988" w:rsidP="00111988">
      <w:pPr>
        <w:rPr>
          <w:rFonts w:ascii="Calibri" w:hAnsi="Calibri"/>
          <w:color w:val="000000"/>
        </w:rPr>
      </w:pPr>
      <w:r w:rsidRPr="00856413">
        <w:rPr>
          <w:rFonts w:ascii="Calibri" w:hAnsi="Calibri"/>
          <w:color w:val="000000"/>
          <w:lang w:val="en"/>
        </w:rPr>
        <w:t>Mark regularly advises on secured creditors' rights, including undertaking complex security reviews and the intensive management of complex and sensitive debt positions.</w:t>
      </w:r>
    </w:p>
    <w:p w14:paraId="797BEBAD" w14:textId="77777777" w:rsidR="00111988" w:rsidRPr="00856413" w:rsidRDefault="00111988" w:rsidP="00111988">
      <w:pPr>
        <w:rPr>
          <w:rFonts w:ascii="Calibri" w:hAnsi="Calibri"/>
          <w:color w:val="000000"/>
        </w:rPr>
      </w:pPr>
      <w:r w:rsidRPr="00856413">
        <w:rPr>
          <w:rFonts w:ascii="Calibri" w:hAnsi="Calibri"/>
          <w:color w:val="000000"/>
          <w:lang w:val="en"/>
        </w:rPr>
        <w:t>Mark is sought out by clients involved in potential disputes who are concerned about protecting their reputation. He is experienced with alternative dispute resolution as well as appearing and instructing in the State and Federal Courts, including at Appellate level.</w:t>
      </w:r>
    </w:p>
    <w:p w14:paraId="58830872" w14:textId="01A74AA2" w:rsidR="00111988" w:rsidRPr="00111988" w:rsidRDefault="00111988" w:rsidP="00111988">
      <w:pPr>
        <w:rPr>
          <w:rFonts w:ascii="Calibri" w:hAnsi="Calibri"/>
          <w:color w:val="000000"/>
        </w:rPr>
      </w:pPr>
      <w:r w:rsidRPr="00856413">
        <w:rPr>
          <w:rFonts w:ascii="Calibri" w:hAnsi="Calibri"/>
          <w:color w:val="000000"/>
          <w:lang w:val="en"/>
        </w:rPr>
        <w:t>Mark has experience in many industry sectors including commercial, rural and residential property, hotels and leisure, retail, energy and resources (including mining services).</w:t>
      </w:r>
      <w:r>
        <w:rPr>
          <w:rFonts w:ascii="Calibri" w:hAnsi="Calibri"/>
          <w:color w:val="000000"/>
          <w:lang w:val="en"/>
        </w:rPr>
        <w:t xml:space="preserve"> Mark will present in Brisbane.</w:t>
      </w:r>
    </w:p>
    <w:p w14:paraId="35E7EF02" w14:textId="77777777" w:rsidR="00111988" w:rsidRPr="00124223" w:rsidRDefault="00111988" w:rsidP="00111988">
      <w:pPr>
        <w:rPr>
          <w:rFonts w:asciiTheme="majorHAnsi" w:hAnsiTheme="majorHAnsi"/>
          <w:b/>
          <w:color w:val="000000"/>
          <w:sz w:val="32"/>
          <w:szCs w:val="32"/>
        </w:rPr>
      </w:pPr>
      <w:r w:rsidRPr="00124223">
        <w:rPr>
          <w:rFonts w:asciiTheme="majorHAnsi" w:hAnsiTheme="majorHAnsi"/>
          <w:noProof/>
          <w:color w:val="000000"/>
        </w:rPr>
        <w:lastRenderedPageBreak/>
        <w:drawing>
          <wp:anchor distT="0" distB="0" distL="114300" distR="114300" simplePos="0" relativeHeight="251686912" behindDoc="0" locked="0" layoutInCell="1" allowOverlap="1" wp14:anchorId="02122CAA" wp14:editId="0E48300E">
            <wp:simplePos x="0" y="0"/>
            <wp:positionH relativeFrom="column">
              <wp:posOffset>-60960</wp:posOffset>
            </wp:positionH>
            <wp:positionV relativeFrom="paragraph">
              <wp:posOffset>55880</wp:posOffset>
            </wp:positionV>
            <wp:extent cx="1524000" cy="1524000"/>
            <wp:effectExtent l="0" t="0" r="0" b="0"/>
            <wp:wrapThrough wrapText="bothSides">
              <wp:wrapPolygon edited="0">
                <wp:start x="0" y="0"/>
                <wp:lineTo x="0" y="21240"/>
                <wp:lineTo x="21240" y="21240"/>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olor w:val="000000"/>
          <w:sz w:val="32"/>
          <w:szCs w:val="32"/>
        </w:rPr>
        <w:t>Angelina Kozary, Partner, Piper Alderman</w:t>
      </w:r>
    </w:p>
    <w:p w14:paraId="1DC8E14B" w14:textId="77777777" w:rsidR="00111988" w:rsidRPr="00280F15" w:rsidRDefault="00111988" w:rsidP="00111988">
      <w:pPr>
        <w:jc w:val="both"/>
        <w:rPr>
          <w:rFonts w:ascii="Calibri" w:hAnsi="Calibri" w:cs="Calibri"/>
          <w:color w:val="000000"/>
        </w:rPr>
      </w:pPr>
    </w:p>
    <w:p w14:paraId="3E77AB40" w14:textId="77777777" w:rsidR="00111988" w:rsidRPr="00280F15" w:rsidRDefault="00111988" w:rsidP="00111988">
      <w:pPr>
        <w:jc w:val="both"/>
        <w:rPr>
          <w:rFonts w:ascii="Calibri" w:hAnsi="Calibri" w:cs="Calibri"/>
          <w:color w:val="000000"/>
        </w:rPr>
      </w:pPr>
      <w:r w:rsidRPr="00280F15">
        <w:rPr>
          <w:rFonts w:ascii="Calibri" w:hAnsi="Calibri" w:cs="Calibri"/>
          <w:color w:val="000000"/>
        </w:rPr>
        <w:t xml:space="preserve">Angelina is a </w:t>
      </w:r>
      <w:r>
        <w:rPr>
          <w:rFonts w:ascii="Calibri" w:hAnsi="Calibri" w:cs="Calibri"/>
          <w:color w:val="000000"/>
        </w:rPr>
        <w:t xml:space="preserve">Partner </w:t>
      </w:r>
      <w:r w:rsidRPr="00280F15">
        <w:rPr>
          <w:rFonts w:ascii="Calibri" w:hAnsi="Calibri" w:cs="Calibri"/>
          <w:color w:val="000000"/>
        </w:rPr>
        <w:t>in Piper Alderman’s national Dispute Resolution team.  Her expertise is in formal insolvency appointments, corporate restructurings, complex commercial litigation and insolvency risk advice. A focus of Angelina’s practice is working for liquidators, voluntary administrators, receivers and secured creditors as well as corporate clients in both contentious and non-contentious matters.  In addition, Angelina provides advice and representation to commercial clients and individuals in connection with a variety of matters including shareholder disputes, debt recovery and contractual disputes.</w:t>
      </w:r>
    </w:p>
    <w:p w14:paraId="0FF18826" w14:textId="77777777" w:rsidR="00111988" w:rsidRPr="00856413" w:rsidRDefault="00111988" w:rsidP="00111988">
      <w:pPr>
        <w:jc w:val="both"/>
        <w:rPr>
          <w:rFonts w:ascii="Calibri" w:hAnsi="Calibri" w:cs="Calibri"/>
          <w:color w:val="000000"/>
        </w:rPr>
      </w:pPr>
      <w:r w:rsidRPr="00280F15">
        <w:rPr>
          <w:rFonts w:ascii="Calibri" w:hAnsi="Calibri" w:cs="Calibri"/>
          <w:color w:val="000000"/>
        </w:rPr>
        <w:t>Angelina has acted in a number of high profile matters, appearing before both the Supreme and Federal Courts in both New South Wales and Victoria.  She has assisted numerous directors of companies facing financial distress to find commercial solutions to complex issues. Angelina prides herself on being pragmatic, solution driven and on her ability to build solid and trusting relationships with her clients, whether those clients are themselves professional services providers or individuals facing a challenging situation</w:t>
      </w:r>
      <w:r>
        <w:rPr>
          <w:rFonts w:ascii="Calibri" w:hAnsi="Calibri" w:cs="Calibri"/>
          <w:color w:val="000000"/>
        </w:rPr>
        <w:t>. She has been listed as a Rising Star in Litigation, Dispute Resolution and Insolvency in the 2018 Doyle’s Guide.</w:t>
      </w:r>
      <w:r w:rsidRPr="001E73ED">
        <w:rPr>
          <w:rFonts w:ascii="Calibri" w:hAnsi="Calibri" w:cs="Calibri"/>
          <w:color w:val="000000"/>
        </w:rPr>
        <w:t xml:space="preserve"> </w:t>
      </w:r>
      <w:r>
        <w:rPr>
          <w:rFonts w:ascii="Calibri" w:hAnsi="Calibri" w:cs="Calibri"/>
          <w:color w:val="000000"/>
        </w:rPr>
        <w:t xml:space="preserve">She is a co-author of the Lexis Nexis </w:t>
      </w:r>
      <w:r w:rsidRPr="00856413">
        <w:rPr>
          <w:rFonts w:ascii="Calibri" w:hAnsi="Calibri" w:cs="Calibri"/>
          <w:color w:val="000000"/>
        </w:rPr>
        <w:t>Corporate Insolvency Practical Guidance publication.</w:t>
      </w:r>
    </w:p>
    <w:p w14:paraId="57D2CE8E" w14:textId="3F006090" w:rsidR="00111988" w:rsidRDefault="00111988" w:rsidP="00111988">
      <w:pPr>
        <w:jc w:val="both"/>
        <w:rPr>
          <w:rFonts w:ascii="Calibri" w:hAnsi="Calibri" w:cs="Calibri"/>
          <w:color w:val="000000"/>
        </w:rPr>
      </w:pPr>
      <w:r>
        <w:rPr>
          <w:rFonts w:ascii="Calibri" w:hAnsi="Calibri" w:cs="Calibri"/>
          <w:color w:val="000000"/>
        </w:rPr>
        <w:t>Angelina will present at each venue.</w:t>
      </w:r>
    </w:p>
    <w:p w14:paraId="48113FA4" w14:textId="77777777" w:rsidR="00111988" w:rsidRPr="00D970E1" w:rsidRDefault="00111988" w:rsidP="00111988">
      <w:pPr>
        <w:shd w:val="clear" w:color="auto" w:fill="FFFFFF"/>
        <w:spacing w:after="150" w:line="270" w:lineRule="atLeast"/>
        <w:jc w:val="both"/>
        <w:rPr>
          <w:rFonts w:ascii="Calibri" w:hAnsi="Calibri" w:cs="Calibri"/>
          <w:color w:val="000000"/>
        </w:rPr>
      </w:pPr>
      <w:r w:rsidRPr="0025435D">
        <w:rPr>
          <w:rFonts w:ascii="Calibri" w:hAnsi="Calibri" w:cs="Calibri"/>
          <w:b/>
          <w:noProof/>
          <w:color w:val="000000"/>
          <w:sz w:val="32"/>
          <w:szCs w:val="32"/>
        </w:rPr>
        <w:drawing>
          <wp:anchor distT="0" distB="0" distL="114300" distR="114300" simplePos="0" relativeHeight="251703296" behindDoc="0" locked="0" layoutInCell="1" allowOverlap="1" wp14:anchorId="40881466" wp14:editId="3F835BE1">
            <wp:simplePos x="0" y="0"/>
            <wp:positionH relativeFrom="column">
              <wp:posOffset>43815</wp:posOffset>
            </wp:positionH>
            <wp:positionV relativeFrom="paragraph">
              <wp:posOffset>237490</wp:posOffset>
            </wp:positionV>
            <wp:extent cx="1607820" cy="1704340"/>
            <wp:effectExtent l="0" t="0" r="0" b="0"/>
            <wp:wrapThrough wrapText="bothSides">
              <wp:wrapPolygon edited="0">
                <wp:start x="0" y="0"/>
                <wp:lineTo x="0" y="21246"/>
                <wp:lineTo x="21242" y="21246"/>
                <wp:lineTo x="2124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7820" cy="1704340"/>
                    </a:xfrm>
                    <a:prstGeom prst="rect">
                      <a:avLst/>
                    </a:prstGeom>
                  </pic:spPr>
                </pic:pic>
              </a:graphicData>
            </a:graphic>
            <wp14:sizeRelH relativeFrom="page">
              <wp14:pctWidth>0</wp14:pctWidth>
            </wp14:sizeRelH>
            <wp14:sizeRelV relativeFrom="page">
              <wp14:pctHeight>0</wp14:pctHeight>
            </wp14:sizeRelV>
          </wp:anchor>
        </w:drawing>
      </w:r>
    </w:p>
    <w:p w14:paraId="58C347F3" w14:textId="77777777" w:rsidR="00111988" w:rsidRPr="00D970E1" w:rsidRDefault="00111988" w:rsidP="00111988">
      <w:pPr>
        <w:spacing w:after="200" w:line="276" w:lineRule="auto"/>
        <w:rPr>
          <w:rFonts w:eastAsia="Times New Roman"/>
          <w:b/>
        </w:rPr>
      </w:pPr>
      <w:r w:rsidRPr="0025435D">
        <w:rPr>
          <w:rFonts w:ascii="Calibri" w:hAnsi="Calibri" w:cs="Calibri"/>
          <w:b/>
          <w:color w:val="000000"/>
          <w:sz w:val="32"/>
          <w:szCs w:val="32"/>
        </w:rPr>
        <w:t>Carrie Rome Sievers</w:t>
      </w:r>
      <w:r>
        <w:rPr>
          <w:rFonts w:ascii="Calibri" w:hAnsi="Calibri" w:cs="Calibri"/>
          <w:b/>
          <w:color w:val="000000"/>
          <w:sz w:val="32"/>
          <w:szCs w:val="32"/>
        </w:rPr>
        <w:t>, Barrister</w:t>
      </w:r>
    </w:p>
    <w:p w14:paraId="56AC1928" w14:textId="77777777" w:rsidR="00111988" w:rsidRPr="009C67FD" w:rsidRDefault="00111988" w:rsidP="00111988">
      <w:pPr>
        <w:pStyle w:val="p1"/>
        <w:rPr>
          <w:rFonts w:asciiTheme="majorHAnsi" w:hAnsiTheme="majorHAnsi" w:cs="Arial"/>
          <w:sz w:val="24"/>
          <w:szCs w:val="24"/>
        </w:rPr>
      </w:pPr>
      <w:r w:rsidRPr="009C67FD">
        <w:rPr>
          <w:rFonts w:asciiTheme="majorHAnsi" w:hAnsiTheme="majorHAnsi" w:cs="Arial"/>
          <w:sz w:val="24"/>
          <w:szCs w:val="24"/>
        </w:rPr>
        <w:t>Carrie is a commercial law Barrister practising primarily in the areas of</w:t>
      </w:r>
    </w:p>
    <w:p w14:paraId="234DF23E" w14:textId="77777777" w:rsidR="00111988" w:rsidRPr="009C67FD" w:rsidRDefault="00111988" w:rsidP="00111988">
      <w:pPr>
        <w:pStyle w:val="p1"/>
        <w:rPr>
          <w:rFonts w:asciiTheme="majorHAnsi" w:hAnsiTheme="majorHAnsi" w:cs="Arial"/>
          <w:sz w:val="24"/>
          <w:szCs w:val="24"/>
        </w:rPr>
      </w:pPr>
      <w:r w:rsidRPr="009C67FD">
        <w:rPr>
          <w:rFonts w:asciiTheme="majorHAnsi" w:hAnsiTheme="majorHAnsi" w:cs="Arial"/>
          <w:sz w:val="24"/>
          <w:szCs w:val="24"/>
        </w:rPr>
        <w:t>insolvency and corporations law. She is experienced in advocacy, pleadings and opinion</w:t>
      </w:r>
      <w:r>
        <w:rPr>
          <w:rFonts w:asciiTheme="majorHAnsi" w:hAnsiTheme="majorHAnsi" w:cs="Arial"/>
          <w:sz w:val="24"/>
          <w:szCs w:val="24"/>
        </w:rPr>
        <w:t xml:space="preserve"> </w:t>
      </w:r>
      <w:r w:rsidRPr="009C67FD">
        <w:rPr>
          <w:rFonts w:asciiTheme="majorHAnsi" w:hAnsiTheme="majorHAnsi" w:cs="Arial"/>
          <w:sz w:val="24"/>
          <w:szCs w:val="24"/>
        </w:rPr>
        <w:t>work. Carrie has advised and appeared for directors, liquidators, administrators</w:t>
      </w:r>
      <w:r>
        <w:rPr>
          <w:rFonts w:asciiTheme="majorHAnsi" w:hAnsiTheme="majorHAnsi" w:cs="Arial"/>
          <w:sz w:val="24"/>
          <w:szCs w:val="24"/>
        </w:rPr>
        <w:t xml:space="preserve"> </w:t>
      </w:r>
      <w:r w:rsidRPr="009C67FD">
        <w:rPr>
          <w:rFonts w:asciiTheme="majorHAnsi" w:hAnsiTheme="majorHAnsi" w:cs="Arial"/>
          <w:sz w:val="24"/>
          <w:szCs w:val="24"/>
        </w:rPr>
        <w:t>and creditors in a range of matters including insolvent trading,</w:t>
      </w:r>
    </w:p>
    <w:p w14:paraId="0052FEC8" w14:textId="77777777" w:rsidR="00111988" w:rsidRPr="009C67FD" w:rsidRDefault="00111988" w:rsidP="00111988">
      <w:pPr>
        <w:pStyle w:val="p1"/>
        <w:rPr>
          <w:rFonts w:asciiTheme="majorHAnsi" w:hAnsiTheme="majorHAnsi" w:cs="Arial"/>
          <w:sz w:val="24"/>
          <w:szCs w:val="24"/>
        </w:rPr>
      </w:pPr>
      <w:r w:rsidRPr="009C67FD">
        <w:rPr>
          <w:rFonts w:asciiTheme="majorHAnsi" w:hAnsiTheme="majorHAnsi" w:cs="Arial"/>
          <w:sz w:val="24"/>
          <w:szCs w:val="24"/>
        </w:rPr>
        <w:t>uncommercial transactions, statutory demands, applications for directions</w:t>
      </w:r>
    </w:p>
    <w:p w14:paraId="0B04F25C" w14:textId="77777777" w:rsidR="00111988" w:rsidRPr="009C67FD" w:rsidRDefault="00111988" w:rsidP="00111988">
      <w:pPr>
        <w:pStyle w:val="p1"/>
        <w:rPr>
          <w:rFonts w:asciiTheme="majorHAnsi" w:hAnsiTheme="majorHAnsi" w:cs="Arial"/>
          <w:sz w:val="24"/>
          <w:szCs w:val="24"/>
        </w:rPr>
      </w:pPr>
      <w:r w:rsidRPr="009C67FD">
        <w:rPr>
          <w:rFonts w:asciiTheme="majorHAnsi" w:hAnsiTheme="majorHAnsi" w:cs="Arial"/>
          <w:sz w:val="24"/>
          <w:szCs w:val="24"/>
        </w:rPr>
        <w:t>including in the liquidation of corporate trustees, unreasonable director-related</w:t>
      </w:r>
    </w:p>
    <w:p w14:paraId="57D273A3" w14:textId="77777777" w:rsidR="00111988" w:rsidRPr="009C67FD" w:rsidRDefault="00111988" w:rsidP="00111988">
      <w:pPr>
        <w:pStyle w:val="p1"/>
        <w:rPr>
          <w:rFonts w:asciiTheme="majorHAnsi" w:hAnsiTheme="majorHAnsi" w:cs="Arial"/>
          <w:sz w:val="24"/>
          <w:szCs w:val="24"/>
        </w:rPr>
      </w:pPr>
      <w:r w:rsidRPr="009C67FD">
        <w:rPr>
          <w:rFonts w:asciiTheme="majorHAnsi" w:hAnsiTheme="majorHAnsi" w:cs="Arial"/>
          <w:sz w:val="24"/>
          <w:szCs w:val="24"/>
        </w:rPr>
        <w:t>transactions, applications for approval of remuneration, applications for</w:t>
      </w:r>
      <w:r>
        <w:rPr>
          <w:rFonts w:asciiTheme="majorHAnsi" w:hAnsiTheme="majorHAnsi" w:cs="Arial"/>
          <w:sz w:val="24"/>
          <w:szCs w:val="24"/>
        </w:rPr>
        <w:t xml:space="preserve"> </w:t>
      </w:r>
      <w:r w:rsidRPr="009C67FD">
        <w:rPr>
          <w:rFonts w:asciiTheme="majorHAnsi" w:hAnsiTheme="majorHAnsi" w:cs="Arial"/>
          <w:sz w:val="24"/>
          <w:szCs w:val="24"/>
        </w:rPr>
        <w:t xml:space="preserve">approval of deeds. Carrie has written numerous articles, including on the recent appeal decisions in </w:t>
      </w:r>
      <w:r w:rsidRPr="009C67FD">
        <w:rPr>
          <w:rFonts w:asciiTheme="majorHAnsi" w:hAnsiTheme="majorHAnsi" w:cs="Arial"/>
          <w:i/>
          <w:iCs/>
          <w:sz w:val="24"/>
          <w:szCs w:val="24"/>
        </w:rPr>
        <w:t>Amerind</w:t>
      </w:r>
      <w:r w:rsidRPr="009C67FD">
        <w:rPr>
          <w:rFonts w:asciiTheme="majorHAnsi" w:hAnsiTheme="majorHAnsi" w:cs="Arial"/>
          <w:sz w:val="24"/>
          <w:szCs w:val="24"/>
        </w:rPr>
        <w:t xml:space="preserve"> and </w:t>
      </w:r>
      <w:r w:rsidRPr="009C67FD">
        <w:rPr>
          <w:rFonts w:asciiTheme="majorHAnsi" w:hAnsiTheme="majorHAnsi" w:cs="Arial"/>
          <w:i/>
          <w:iCs/>
          <w:sz w:val="24"/>
          <w:szCs w:val="24"/>
        </w:rPr>
        <w:t>Killarnee</w:t>
      </w:r>
      <w:r w:rsidRPr="009C67FD">
        <w:rPr>
          <w:rFonts w:asciiTheme="majorHAnsi" w:hAnsiTheme="majorHAnsi" w:cs="Arial"/>
          <w:sz w:val="24"/>
          <w:szCs w:val="24"/>
        </w:rPr>
        <w:t xml:space="preserve"> – see her website </w:t>
      </w:r>
      <w:hyperlink r:id="rId16" w:history="1">
        <w:r w:rsidRPr="009C67FD">
          <w:rPr>
            <w:rStyle w:val="Hyperlink"/>
            <w:rFonts w:asciiTheme="majorHAnsi" w:hAnsiTheme="majorHAnsi" w:cs="Arial"/>
            <w:sz w:val="24"/>
            <w:szCs w:val="24"/>
          </w:rPr>
          <w:t>www.carrieromesievers.com</w:t>
        </w:r>
      </w:hyperlink>
      <w:r w:rsidRPr="009C67FD">
        <w:rPr>
          <w:rFonts w:asciiTheme="majorHAnsi" w:hAnsiTheme="majorHAnsi" w:cs="Arial"/>
          <w:sz w:val="24"/>
          <w:szCs w:val="24"/>
        </w:rPr>
        <w:t>. Carrie is a long-standing member of Lonsdale Chambers in Melbourne, is a member of the Commercial Bar Association of Victoria, the Insolvency and Reconstruction Law Committee of the Law Council of Australia, and WIRV – Women in Insolvency and Restructuring Victoria. Carrie will present in Sydney and Melbourne.</w:t>
      </w:r>
    </w:p>
    <w:p w14:paraId="3FAB0F9E" w14:textId="77777777" w:rsidR="00111988" w:rsidRPr="009C67FD" w:rsidRDefault="00111988" w:rsidP="00111988">
      <w:pPr>
        <w:pStyle w:val="p1"/>
        <w:rPr>
          <w:rFonts w:asciiTheme="majorHAnsi" w:hAnsiTheme="majorHAnsi" w:cs="Arial"/>
          <w:sz w:val="24"/>
          <w:szCs w:val="24"/>
        </w:rPr>
      </w:pPr>
    </w:p>
    <w:p w14:paraId="20830208" w14:textId="77777777" w:rsidR="00111988" w:rsidRDefault="00111988" w:rsidP="00111988">
      <w:pPr>
        <w:pStyle w:val="p1"/>
        <w:rPr>
          <w:rFonts w:asciiTheme="majorHAnsi" w:hAnsiTheme="majorHAnsi" w:cs="Arial"/>
          <w:sz w:val="24"/>
          <w:szCs w:val="24"/>
          <w:lang w:val="en-US"/>
        </w:rPr>
      </w:pPr>
      <w:r w:rsidRPr="009C67FD">
        <w:rPr>
          <w:rFonts w:asciiTheme="majorHAnsi" w:hAnsiTheme="majorHAnsi" w:cs="Arial"/>
          <w:sz w:val="24"/>
          <w:szCs w:val="24"/>
          <w:lang w:val="en-US"/>
        </w:rPr>
        <w:t>Carrie has been nominated in the peer-reviewed Best Lawyers list for Insolvency and Reconstruction for 2016, 2017 and 2018, and in Doyles Guide for Victoria in two categories – for Leading Commercial Litigation and Dispute Resolution Counsel and Insolvency and Restructuring Counsel - for 2017 and 2018. Carrie will present in Sydney and Melbourne.</w:t>
      </w:r>
    </w:p>
    <w:p w14:paraId="03192CBC" w14:textId="77777777" w:rsidR="00111988" w:rsidRPr="009C67FD" w:rsidRDefault="00111988" w:rsidP="00111988">
      <w:pPr>
        <w:pStyle w:val="p1"/>
        <w:rPr>
          <w:rFonts w:asciiTheme="majorHAnsi" w:hAnsiTheme="majorHAnsi" w:cs="Arial"/>
          <w:sz w:val="24"/>
          <w:szCs w:val="24"/>
        </w:rPr>
      </w:pPr>
    </w:p>
    <w:p w14:paraId="5E78BEC6" w14:textId="77777777" w:rsidR="00111988" w:rsidRPr="00C51BCE" w:rsidRDefault="00111988" w:rsidP="00111988">
      <w:pPr>
        <w:rPr>
          <w:rFonts w:asciiTheme="majorHAnsi" w:hAnsiTheme="majorHAnsi"/>
          <w:b/>
          <w:color w:val="2F2F2F"/>
          <w:sz w:val="32"/>
          <w:szCs w:val="32"/>
        </w:rPr>
      </w:pPr>
      <w:r>
        <w:rPr>
          <w:rFonts w:eastAsia="Times New Roman"/>
          <w:noProof/>
        </w:rPr>
        <w:drawing>
          <wp:anchor distT="0" distB="0" distL="114300" distR="114300" simplePos="0" relativeHeight="251705344" behindDoc="0" locked="0" layoutInCell="1" allowOverlap="1" wp14:anchorId="30A6FC61" wp14:editId="75E07549">
            <wp:simplePos x="0" y="0"/>
            <wp:positionH relativeFrom="column">
              <wp:posOffset>52070</wp:posOffset>
            </wp:positionH>
            <wp:positionV relativeFrom="paragraph">
              <wp:posOffset>164465</wp:posOffset>
            </wp:positionV>
            <wp:extent cx="1691640" cy="1691640"/>
            <wp:effectExtent l="0" t="0" r="10160" b="10160"/>
            <wp:wrapThrough wrapText="bothSides">
              <wp:wrapPolygon edited="0">
                <wp:start x="0" y="0"/>
                <wp:lineTo x="0" y="21405"/>
                <wp:lineTo x="21405" y="21405"/>
                <wp:lineTo x="21405" y="0"/>
                <wp:lineTo x="0" y="0"/>
              </wp:wrapPolygon>
            </wp:wrapThrough>
            <wp:docPr id="13" name="Picture 13" descr="https://www.gadens.com/wp-content/uploads/2018/02/Melbourne-Sydney_Resize_72dpi_0015_Rob-H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dens.com/wp-content/uploads/2018/02/Melbourne-Sydney_Resize_72dpi_0015_Rob-Hin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278">
        <w:rPr>
          <w:rFonts w:asciiTheme="majorHAnsi" w:hAnsiTheme="majorHAnsi"/>
          <w:b/>
          <w:color w:val="2F2F2F"/>
          <w:sz w:val="32"/>
          <w:szCs w:val="32"/>
        </w:rPr>
        <w:t>Rob Hinton</w:t>
      </w:r>
      <w:r>
        <w:rPr>
          <w:rFonts w:asciiTheme="majorHAnsi" w:hAnsiTheme="majorHAnsi"/>
          <w:b/>
          <w:color w:val="2F2F2F"/>
          <w:sz w:val="32"/>
          <w:szCs w:val="32"/>
        </w:rPr>
        <w:t>, Partner, Gadens</w:t>
      </w:r>
    </w:p>
    <w:p w14:paraId="593BA551" w14:textId="77777777" w:rsidR="00111988" w:rsidRDefault="00111988" w:rsidP="00111988">
      <w:pPr>
        <w:jc w:val="both"/>
        <w:rPr>
          <w:rFonts w:ascii="Calibri" w:hAnsi="Calibri" w:cs="Calibri"/>
          <w:color w:val="000000"/>
        </w:rPr>
      </w:pPr>
    </w:p>
    <w:p w14:paraId="60420A23" w14:textId="77777777" w:rsidR="00111988" w:rsidRPr="00B12278" w:rsidRDefault="00111988" w:rsidP="00111988">
      <w:pPr>
        <w:jc w:val="both"/>
        <w:rPr>
          <w:rFonts w:ascii="Calibri" w:hAnsi="Calibri" w:cs="Calibri"/>
          <w:color w:val="000000"/>
        </w:rPr>
      </w:pPr>
      <w:r w:rsidRPr="00B12278">
        <w:rPr>
          <w:rFonts w:ascii="Calibri" w:hAnsi="Calibri" w:cs="Calibri"/>
          <w:color w:val="000000"/>
        </w:rPr>
        <w:t xml:space="preserve">Rob is a Partner in Banking &amp; Finance Group, </w:t>
      </w:r>
      <w:r>
        <w:rPr>
          <w:rFonts w:ascii="Calibri" w:hAnsi="Calibri" w:cs="Calibri"/>
          <w:color w:val="000000"/>
        </w:rPr>
        <w:t xml:space="preserve">Gadens, </w:t>
      </w:r>
      <w:r w:rsidRPr="00B12278">
        <w:rPr>
          <w:rFonts w:ascii="Calibri" w:hAnsi="Calibri" w:cs="Calibri"/>
          <w:color w:val="000000"/>
        </w:rPr>
        <w:t>specialising in litigation, restructuring and insolvency. He has been involved in all aspects of commercial litigation for over 25 years.</w:t>
      </w:r>
      <w:r>
        <w:rPr>
          <w:rFonts w:ascii="Calibri" w:hAnsi="Calibri" w:cs="Calibri"/>
          <w:color w:val="000000"/>
        </w:rPr>
        <w:t xml:space="preserve"> </w:t>
      </w:r>
      <w:r w:rsidRPr="00B12278">
        <w:rPr>
          <w:rFonts w:ascii="Calibri" w:hAnsi="Calibri" w:cs="Calibri"/>
          <w:color w:val="000000"/>
        </w:rPr>
        <w:t>Rob’s specific expertise lies in acting for administrators, deed administrators, liquidators, receivers, creditors and company directors, and various banking clients. His work takes him to all jurisdictions, from the Magistrates’ Court to the High Court, as well as VCAT.</w:t>
      </w:r>
    </w:p>
    <w:p w14:paraId="608BC844" w14:textId="77777777" w:rsidR="00111988" w:rsidRDefault="00111988" w:rsidP="00111988">
      <w:pPr>
        <w:jc w:val="both"/>
        <w:rPr>
          <w:rFonts w:ascii="Calibri" w:hAnsi="Calibri" w:cs="Calibri"/>
          <w:color w:val="000000"/>
        </w:rPr>
      </w:pPr>
      <w:r w:rsidRPr="00B12278">
        <w:rPr>
          <w:rFonts w:ascii="Calibri" w:hAnsi="Calibri" w:cs="Calibri"/>
          <w:color w:val="000000"/>
        </w:rPr>
        <w:t xml:space="preserve">His litigation experience includes applications to the Court for directions on various insolvency administrations, preference actions, proof of debt adjudications and more generally, large commercial contractual disputes and Corporations Law proceedings. Rob has been involved in various committees of the Law Institute of Victoria in the insolvency and </w:t>
      </w:r>
      <w:r w:rsidRPr="00B12278">
        <w:rPr>
          <w:rFonts w:ascii="Calibri" w:hAnsi="Calibri" w:cs="Calibri"/>
          <w:color w:val="000000"/>
        </w:rPr>
        <w:lastRenderedPageBreak/>
        <w:t>reconstruction area for many years. He also lectures the Advanced Insolvency course run by the Insolvency Practitioners Association of Australia and is often asked to lecture at industry functions and seminars.</w:t>
      </w:r>
    </w:p>
    <w:p w14:paraId="6D8EB397" w14:textId="77777777" w:rsidR="00111988" w:rsidRPr="00B12278" w:rsidRDefault="00111988" w:rsidP="00111988">
      <w:pPr>
        <w:jc w:val="both"/>
        <w:rPr>
          <w:rFonts w:ascii="Calibri" w:hAnsi="Calibri" w:cs="Calibri"/>
          <w:color w:val="000000"/>
        </w:rPr>
      </w:pPr>
    </w:p>
    <w:p w14:paraId="168C8E5C" w14:textId="77777777" w:rsidR="00111988" w:rsidRPr="00B12278" w:rsidRDefault="00111988" w:rsidP="00111988">
      <w:pPr>
        <w:jc w:val="both"/>
        <w:rPr>
          <w:rFonts w:ascii="Calibri" w:hAnsi="Calibri" w:cs="Calibri"/>
          <w:color w:val="000000"/>
        </w:rPr>
      </w:pPr>
      <w:r w:rsidRPr="00B12278">
        <w:rPr>
          <w:rFonts w:ascii="Calibri" w:hAnsi="Calibri" w:cs="Calibri"/>
          <w:color w:val="000000"/>
        </w:rPr>
        <w:t>Robert has been nominated as a “Best Lawyer” in the fields of Alternative Dispute Resolution and Insolvency and Reconstruction by Best Lawyers for five years consecutively.</w:t>
      </w:r>
    </w:p>
    <w:p w14:paraId="293E257B" w14:textId="77777777" w:rsidR="00111988" w:rsidRDefault="00111988" w:rsidP="00111988">
      <w:pPr>
        <w:jc w:val="both"/>
        <w:rPr>
          <w:rFonts w:ascii="Calibri" w:hAnsi="Calibri" w:cs="Calibri"/>
          <w:color w:val="000000"/>
        </w:rPr>
      </w:pPr>
      <w:r w:rsidRPr="00B12278">
        <w:rPr>
          <w:rFonts w:ascii="Calibri" w:hAnsi="Calibri" w:cs="Calibri"/>
          <w:color w:val="000000"/>
        </w:rPr>
        <w:t>Specific assignments</w:t>
      </w:r>
      <w:r>
        <w:rPr>
          <w:rFonts w:ascii="Calibri" w:hAnsi="Calibri" w:cs="Calibri"/>
          <w:color w:val="000000"/>
        </w:rPr>
        <w:t>:</w:t>
      </w:r>
    </w:p>
    <w:p w14:paraId="5030B327" w14:textId="77777777" w:rsidR="00111988" w:rsidRPr="00B12278" w:rsidRDefault="00111988" w:rsidP="00111988">
      <w:pPr>
        <w:jc w:val="both"/>
        <w:rPr>
          <w:rFonts w:ascii="Calibri" w:hAnsi="Calibri" w:cs="Calibri"/>
          <w:color w:val="000000"/>
        </w:rPr>
      </w:pPr>
    </w:p>
    <w:p w14:paraId="7755C657" w14:textId="77777777" w:rsidR="00111988" w:rsidRPr="00B12278" w:rsidRDefault="00111988" w:rsidP="00111988">
      <w:pPr>
        <w:tabs>
          <w:tab w:val="num" w:pos="720"/>
        </w:tabs>
        <w:jc w:val="both"/>
        <w:rPr>
          <w:rFonts w:ascii="Calibri" w:hAnsi="Calibri" w:cs="Calibri"/>
          <w:color w:val="000000"/>
        </w:rPr>
      </w:pPr>
      <w:r w:rsidRPr="00B12278">
        <w:rPr>
          <w:rFonts w:ascii="Calibri" w:hAnsi="Calibri" w:cs="Calibri"/>
          <w:color w:val="000000"/>
        </w:rPr>
        <w:t>Insolvency administrations – Pyramid Building Society, Comcorp Group, Sheen Panels Group, the Water Wheel Group, Ansett Group, the Stockford Group, the Newmont Group, the Primelife Group, the Computer Power liquidation, the DFO group and advising Banks and other Financial Institutions in relation to recovery and realisation strategies and legal obligations and rights including in relation to the appointment of Voluntary Administrators, Receivers and Managers and Mortgagees in Possession.</w:t>
      </w:r>
      <w:r>
        <w:rPr>
          <w:rFonts w:ascii="Calibri" w:hAnsi="Calibri" w:cs="Calibri"/>
          <w:color w:val="000000"/>
        </w:rPr>
        <w:t xml:space="preserve">  </w:t>
      </w:r>
      <w:r w:rsidRPr="00B12278">
        <w:rPr>
          <w:rFonts w:ascii="Calibri" w:hAnsi="Calibri" w:cs="Calibri"/>
          <w:color w:val="000000"/>
        </w:rPr>
        <w:t>Advising a group of directors of the Ansett Group of Companies in all aspects of this large administration.</w:t>
      </w:r>
      <w:r>
        <w:rPr>
          <w:rFonts w:ascii="Calibri" w:hAnsi="Calibri" w:cs="Calibri"/>
          <w:color w:val="000000"/>
        </w:rPr>
        <w:t xml:space="preserve">  </w:t>
      </w:r>
      <w:r w:rsidRPr="00B12278">
        <w:rPr>
          <w:rFonts w:ascii="Calibri" w:hAnsi="Calibri" w:cs="Calibri"/>
          <w:color w:val="000000"/>
        </w:rPr>
        <w:t>Acting for banks in debt disputes, misleading and deceptive conduct litigation, guarantee cases and documentation disputes.</w:t>
      </w:r>
      <w:r>
        <w:rPr>
          <w:rFonts w:ascii="Calibri" w:hAnsi="Calibri" w:cs="Calibri"/>
          <w:color w:val="000000"/>
        </w:rPr>
        <w:t xml:space="preserve"> Rob will present in Melbourne.</w:t>
      </w:r>
    </w:p>
    <w:p w14:paraId="5CF1BA61" w14:textId="77777777" w:rsidR="00111988" w:rsidRDefault="00111988" w:rsidP="00111988">
      <w:pPr>
        <w:spacing w:after="200" w:line="276" w:lineRule="auto"/>
        <w:rPr>
          <w:rFonts w:ascii="Calibri" w:hAnsi="Calibri" w:cs="Calibri"/>
          <w:color w:val="000000"/>
        </w:rPr>
      </w:pPr>
    </w:p>
    <w:p w14:paraId="167D254A" w14:textId="74514E13" w:rsidR="00111988" w:rsidRPr="00B12278" w:rsidRDefault="00111988" w:rsidP="00111988">
      <w:pPr>
        <w:rPr>
          <w:rFonts w:ascii="Helvetica Neue" w:hAnsi="Helvetica Neue"/>
          <w:b/>
          <w:color w:val="2F2F2F"/>
          <w:sz w:val="20"/>
          <w:szCs w:val="20"/>
        </w:rPr>
      </w:pPr>
      <w:r w:rsidRPr="00C51BCE">
        <w:rPr>
          <w:rFonts w:eastAsia="Times New Roman"/>
          <w:noProof/>
        </w:rPr>
        <w:drawing>
          <wp:anchor distT="0" distB="0" distL="114300" distR="114300" simplePos="0" relativeHeight="251707392" behindDoc="0" locked="0" layoutInCell="1" allowOverlap="1" wp14:anchorId="6E2D341F" wp14:editId="558A145F">
            <wp:simplePos x="0" y="0"/>
            <wp:positionH relativeFrom="column">
              <wp:posOffset>51435</wp:posOffset>
            </wp:positionH>
            <wp:positionV relativeFrom="paragraph">
              <wp:posOffset>53340</wp:posOffset>
            </wp:positionV>
            <wp:extent cx="1704340" cy="1704340"/>
            <wp:effectExtent l="0" t="0" r="0" b="0"/>
            <wp:wrapThrough wrapText="bothSides">
              <wp:wrapPolygon edited="0">
                <wp:start x="0" y="0"/>
                <wp:lineTo x="0" y="21246"/>
                <wp:lineTo x="21246" y="21246"/>
                <wp:lineTo x="21246" y="0"/>
                <wp:lineTo x="0" y="0"/>
              </wp:wrapPolygon>
            </wp:wrapThrough>
            <wp:docPr id="10" name="Picture 10" descr="https://www.gadens.com/wp-content/uploads/2017/12/JER_New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dens.com/wp-content/uploads/2017/12/JER_New_Websit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2F2F2F"/>
          <w:sz w:val="32"/>
          <w:szCs w:val="32"/>
        </w:rPr>
        <w:t xml:space="preserve">James Roland, Partner, Gadens </w:t>
      </w:r>
    </w:p>
    <w:p w14:paraId="5A0C3942" w14:textId="77777777" w:rsidR="00111988" w:rsidRDefault="00111988" w:rsidP="00111988">
      <w:pPr>
        <w:jc w:val="both"/>
        <w:rPr>
          <w:rFonts w:ascii="Calibri" w:hAnsi="Calibri"/>
          <w:color w:val="000000"/>
        </w:rPr>
      </w:pPr>
    </w:p>
    <w:p w14:paraId="21FD8DB8" w14:textId="77777777" w:rsidR="00111988" w:rsidRPr="00B12278" w:rsidRDefault="00111988" w:rsidP="00111988">
      <w:pPr>
        <w:jc w:val="both"/>
        <w:rPr>
          <w:rFonts w:ascii="Calibri" w:hAnsi="Calibri"/>
          <w:color w:val="000000"/>
        </w:rPr>
      </w:pPr>
      <w:r w:rsidRPr="00B12278">
        <w:rPr>
          <w:rFonts w:ascii="Calibri" w:hAnsi="Calibri"/>
          <w:color w:val="000000"/>
        </w:rPr>
        <w:t>James is a Partner in Banking &amp; Finance Group, Gadens specialising in all areas of banking, and corporate restructuring and insolvency law.</w:t>
      </w:r>
    </w:p>
    <w:p w14:paraId="17327F2C" w14:textId="77777777" w:rsidR="00111988" w:rsidRPr="00B12278" w:rsidRDefault="00111988" w:rsidP="00111988">
      <w:pPr>
        <w:jc w:val="both"/>
        <w:rPr>
          <w:rFonts w:ascii="Calibri" w:hAnsi="Calibri" w:cs="Calibri"/>
          <w:color w:val="000000"/>
        </w:rPr>
      </w:pPr>
      <w:r w:rsidRPr="00B12278">
        <w:rPr>
          <w:rFonts w:ascii="Calibri" w:hAnsi="Calibri" w:cs="Calibri"/>
          <w:color w:val="000000"/>
        </w:rPr>
        <w:t>James has extensive experience on a wide range of property, corporate and agribusiness finance transactions. He also has significant experience in providing advice to secured lenders in connection with the management of distressed exposures, ranging from debt restructuring solutions and distressed debt trading to the enforcement of securities and the recovery of debt.</w:t>
      </w:r>
    </w:p>
    <w:p w14:paraId="07457EB9" w14:textId="77777777" w:rsidR="00111988" w:rsidRDefault="00111988" w:rsidP="00111988">
      <w:pPr>
        <w:jc w:val="both"/>
        <w:rPr>
          <w:rFonts w:ascii="Calibri" w:hAnsi="Calibri" w:cs="Calibri"/>
          <w:color w:val="000000"/>
        </w:rPr>
      </w:pPr>
      <w:r w:rsidRPr="00B12278">
        <w:rPr>
          <w:rFonts w:ascii="Calibri" w:hAnsi="Calibri" w:cs="Calibri"/>
          <w:color w:val="000000"/>
        </w:rPr>
        <w:t>James’ practice also encompasses all aspects of corporate insolvency, including liquidations, receiverships, administrations, deeds of company arrangement, schemes of arrangement, informal workouts, banking and insolvency-related litigation, and the conduct of liquidators’ examinations and investigations.</w:t>
      </w:r>
      <w:r w:rsidRPr="00B12278">
        <w:rPr>
          <w:rFonts w:ascii="Calibri" w:hAnsi="Calibri"/>
          <w:color w:val="000000"/>
        </w:rPr>
        <w:t xml:space="preserve">  </w:t>
      </w:r>
      <w:r w:rsidRPr="00B12278">
        <w:rPr>
          <w:rFonts w:ascii="Calibri" w:hAnsi="Calibri" w:cs="Calibri"/>
          <w:color w:val="000000"/>
        </w:rPr>
        <w:t>James has handled countless distressed exposures across all industry sectors ranging from bilateral to large syndicated facilities, generally with a view to implementing confidential restructuring and turnaround solutions outside formal insolvency procedures. He has a detailed understanding of how financial institution manage credit risk both in terms of performing and non-performing loans in a heavily regulated and closely scrutinised environment.</w:t>
      </w:r>
    </w:p>
    <w:p w14:paraId="101B3A7B" w14:textId="77777777" w:rsidR="00111988" w:rsidRPr="00B12278" w:rsidRDefault="00111988" w:rsidP="00111988">
      <w:pPr>
        <w:jc w:val="both"/>
        <w:rPr>
          <w:rFonts w:ascii="Calibri" w:hAnsi="Calibri" w:cs="Calibri"/>
          <w:color w:val="000000"/>
        </w:rPr>
      </w:pPr>
    </w:p>
    <w:p w14:paraId="521F49F5" w14:textId="2D3C6D89" w:rsidR="00111988" w:rsidRPr="00111988" w:rsidRDefault="00111988" w:rsidP="00111988">
      <w:pPr>
        <w:jc w:val="both"/>
        <w:rPr>
          <w:rFonts w:ascii="Calibri" w:hAnsi="Calibri" w:cs="Calibri"/>
          <w:color w:val="000000"/>
        </w:rPr>
      </w:pPr>
      <w:r w:rsidRPr="00B12278">
        <w:rPr>
          <w:rFonts w:ascii="Calibri" w:hAnsi="Calibri" w:cs="Calibri"/>
          <w:color w:val="000000"/>
        </w:rPr>
        <w:t>In addition to his time in law firms, James also spent several years as a Senior Legal Counsel at National Australia Bank during which time he advised the bank’s corporate, agribusiness and development finance teams in relation to the documentation and management of its transactions, and the bank’s special situations teams in relation to corporate debt restructuring and recovery work (including debt-for-equity transactions).</w:t>
      </w:r>
      <w:r>
        <w:rPr>
          <w:rFonts w:ascii="Calibri" w:hAnsi="Calibri" w:cs="Calibri"/>
          <w:color w:val="000000"/>
        </w:rPr>
        <w:t xml:space="preserve"> James will present in Sydney.</w:t>
      </w:r>
    </w:p>
    <w:p w14:paraId="15650DE7" w14:textId="77777777" w:rsidR="00111988" w:rsidRDefault="00111988" w:rsidP="00111988">
      <w:pPr>
        <w:shd w:val="clear" w:color="auto" w:fill="FFFFFF"/>
        <w:spacing w:after="150" w:line="270" w:lineRule="atLeast"/>
        <w:rPr>
          <w:rFonts w:asciiTheme="majorHAnsi" w:hAnsiTheme="majorHAnsi"/>
          <w:b/>
          <w:color w:val="2F2F2F"/>
          <w:sz w:val="32"/>
          <w:szCs w:val="32"/>
        </w:rPr>
      </w:pPr>
    </w:p>
    <w:p w14:paraId="60D31ED9" w14:textId="77777777" w:rsidR="00111988" w:rsidRPr="0025435D" w:rsidRDefault="00111988" w:rsidP="00111988">
      <w:pPr>
        <w:shd w:val="clear" w:color="auto" w:fill="FFFFFF"/>
        <w:spacing w:after="150" w:line="270" w:lineRule="atLeast"/>
        <w:rPr>
          <w:rFonts w:asciiTheme="majorHAnsi" w:hAnsiTheme="majorHAnsi"/>
          <w:b/>
          <w:color w:val="2F2F2F"/>
          <w:sz w:val="32"/>
          <w:szCs w:val="32"/>
        </w:rPr>
      </w:pPr>
      <w:r w:rsidRPr="0025435D">
        <w:rPr>
          <w:rFonts w:eastAsia="Times New Roman"/>
          <w:b/>
          <w:noProof/>
          <w:sz w:val="32"/>
          <w:szCs w:val="32"/>
        </w:rPr>
        <w:drawing>
          <wp:anchor distT="0" distB="0" distL="114300" distR="114300" simplePos="0" relativeHeight="251687936" behindDoc="0" locked="0" layoutInCell="1" allowOverlap="1" wp14:anchorId="026848B5" wp14:editId="75B9F409">
            <wp:simplePos x="0" y="0"/>
            <wp:positionH relativeFrom="column">
              <wp:posOffset>52705</wp:posOffset>
            </wp:positionH>
            <wp:positionV relativeFrom="paragraph">
              <wp:posOffset>27305</wp:posOffset>
            </wp:positionV>
            <wp:extent cx="1600835" cy="1600835"/>
            <wp:effectExtent l="0" t="0" r="0" b="0"/>
            <wp:wrapThrough wrapText="bothSides">
              <wp:wrapPolygon edited="0">
                <wp:start x="0" y="0"/>
                <wp:lineTo x="0" y="21249"/>
                <wp:lineTo x="21249" y="21249"/>
                <wp:lineTo x="21249" y="0"/>
                <wp:lineTo x="0" y="0"/>
              </wp:wrapPolygon>
            </wp:wrapThrough>
            <wp:docPr id="6" name="Picture 6" descr="https://majyycc6gq45iho22noysn13-wpengine.netdna-ssl.com/wp-content/uploads/2015/06/michae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jyycc6gq45iho22noysn13-wpengine.netdna-ssl.com/wp-content/uploads/2015/06/michael-300x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83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35D">
        <w:rPr>
          <w:rFonts w:asciiTheme="majorHAnsi" w:hAnsiTheme="majorHAnsi"/>
          <w:b/>
          <w:color w:val="2F2F2F"/>
          <w:sz w:val="32"/>
          <w:szCs w:val="32"/>
        </w:rPr>
        <w:t>Michael Trim</w:t>
      </w:r>
      <w:r>
        <w:rPr>
          <w:rFonts w:asciiTheme="majorHAnsi" w:hAnsiTheme="majorHAnsi"/>
          <w:b/>
          <w:color w:val="2F2F2F"/>
          <w:sz w:val="32"/>
          <w:szCs w:val="32"/>
        </w:rPr>
        <w:t>, Barrister</w:t>
      </w:r>
    </w:p>
    <w:p w14:paraId="1E53530F" w14:textId="27A0415B" w:rsidR="00111988" w:rsidRPr="00492476" w:rsidRDefault="00111988" w:rsidP="00111988">
      <w:pPr>
        <w:pStyle w:val="NormalWeb"/>
        <w:jc w:val="both"/>
        <w:rPr>
          <w:rFonts w:asciiTheme="majorHAnsi" w:hAnsiTheme="majorHAnsi"/>
        </w:rPr>
      </w:pPr>
      <w:r>
        <w:rPr>
          <w:rFonts w:asciiTheme="majorHAnsi" w:hAnsiTheme="majorHAnsi"/>
        </w:rPr>
        <w:t>Michael is a B</w:t>
      </w:r>
      <w:r w:rsidRPr="00492476">
        <w:rPr>
          <w:rFonts w:asciiTheme="majorHAnsi" w:hAnsiTheme="majorHAnsi"/>
        </w:rPr>
        <w:t xml:space="preserve">arrister at Level Twenty Seven Chambers in Brisbane. He has a broad practice providing advice and assistance with commercial and corporate disputes in the following fields: insolvency, banking &amp; finance, construction and infrastructure, insurance &amp; re-insurance, professional negligence, commercial property and other general commercial matters. </w:t>
      </w:r>
    </w:p>
    <w:p w14:paraId="7DA63352" w14:textId="77777777" w:rsidR="00111988" w:rsidRDefault="00111988" w:rsidP="00111988">
      <w:pPr>
        <w:pStyle w:val="NormalWeb"/>
        <w:spacing w:before="0" w:beforeAutospacing="0" w:after="0" w:afterAutospacing="0"/>
        <w:jc w:val="both"/>
        <w:rPr>
          <w:rFonts w:asciiTheme="majorHAnsi" w:hAnsiTheme="majorHAnsi"/>
        </w:rPr>
      </w:pPr>
      <w:r w:rsidRPr="00492476">
        <w:rPr>
          <w:rFonts w:asciiTheme="majorHAnsi" w:hAnsiTheme="majorHAnsi"/>
        </w:rPr>
        <w:t xml:space="preserve">Michael’s practice encompasses appearances in courts, arbitrations, mediations </w:t>
      </w:r>
      <w:r w:rsidRPr="00492476">
        <w:rPr>
          <w:rFonts w:asciiTheme="majorHAnsi" w:hAnsiTheme="majorHAnsi"/>
        </w:rPr>
        <w:lastRenderedPageBreak/>
        <w:t>and commissions and work as a mediator or arbitrator. Recent cases of interest include a leading High Court decision concerning liquidators’ obligations with respect to post-appointment tax liabilities (</w:t>
      </w:r>
      <w:r w:rsidRPr="00492476">
        <w:rPr>
          <w:rFonts w:asciiTheme="majorHAnsi" w:hAnsiTheme="majorHAnsi"/>
          <w:i/>
        </w:rPr>
        <w:t xml:space="preserve">Commissioner of Taxation v Australian Building Systems </w:t>
      </w:r>
      <w:r w:rsidRPr="00492476">
        <w:rPr>
          <w:rFonts w:asciiTheme="majorHAnsi" w:hAnsiTheme="majorHAnsi"/>
        </w:rPr>
        <w:t>[2015] HCA 48).</w:t>
      </w:r>
    </w:p>
    <w:p w14:paraId="6C0BDEED" w14:textId="77777777" w:rsidR="00111988" w:rsidRDefault="00111988" w:rsidP="00111988">
      <w:pPr>
        <w:pStyle w:val="NormalWeb"/>
        <w:spacing w:before="0" w:beforeAutospacing="0" w:after="0" w:afterAutospacing="0"/>
        <w:jc w:val="both"/>
        <w:rPr>
          <w:rFonts w:asciiTheme="majorHAnsi" w:hAnsiTheme="majorHAnsi"/>
        </w:rPr>
      </w:pPr>
    </w:p>
    <w:p w14:paraId="1E7419F8" w14:textId="77777777" w:rsidR="00111988" w:rsidRPr="00492476" w:rsidRDefault="00111988" w:rsidP="00111988">
      <w:pPr>
        <w:pStyle w:val="NormalWeb"/>
        <w:spacing w:before="0" w:beforeAutospacing="0" w:after="0" w:afterAutospacing="0"/>
        <w:jc w:val="both"/>
        <w:rPr>
          <w:rFonts w:asciiTheme="majorHAnsi" w:hAnsiTheme="majorHAnsi"/>
        </w:rPr>
      </w:pPr>
      <w:r w:rsidRPr="00492476">
        <w:rPr>
          <w:rFonts w:asciiTheme="majorHAnsi" w:hAnsiTheme="majorHAnsi"/>
        </w:rPr>
        <w:t>The current edition of Doyle's Guide to the Australian Legal Profession lists Michael as a 'preeminent', 'leading' or 'recommended' junior for Insolvency &amp; Restructuring (National and Queensland) and Commercial Litigation &amp; Disputes (Queensland). In addition, Michael is listed in the Australian Financial Review's Best Lawyers 2017, 2018 and 2019 for Alternative Dispute Resolution and Litigation.</w:t>
      </w:r>
    </w:p>
    <w:p w14:paraId="40A4BC53" w14:textId="0242DF44" w:rsidR="00111988" w:rsidRPr="00111988" w:rsidRDefault="00111988" w:rsidP="00111988">
      <w:pPr>
        <w:pStyle w:val="NormalWeb"/>
        <w:jc w:val="both"/>
        <w:rPr>
          <w:rFonts w:asciiTheme="majorHAnsi" w:hAnsiTheme="majorHAnsi"/>
        </w:rPr>
      </w:pPr>
      <w:r w:rsidRPr="00492476">
        <w:rPr>
          <w:rFonts w:asciiTheme="majorHAnsi" w:hAnsiTheme="majorHAnsi"/>
          <w:shd w:val="clear" w:color="auto" w:fill="FFFFFF"/>
        </w:rPr>
        <w:t xml:space="preserve">Michael was also a lawyer and senior associate with Clyde &amp; Co and Clifford Chance LLP in London for almost 5 years prior </w:t>
      </w:r>
      <w:r>
        <w:rPr>
          <w:rFonts w:asciiTheme="majorHAnsi" w:hAnsiTheme="majorHAnsi"/>
          <w:shd w:val="clear" w:color="auto" w:fill="FFFFFF"/>
        </w:rPr>
        <w:t>to coming to the bar</w:t>
      </w:r>
      <w:r w:rsidRPr="00492476">
        <w:rPr>
          <w:rFonts w:asciiTheme="majorHAnsi" w:hAnsiTheme="majorHAnsi"/>
          <w:shd w:val="clear" w:color="auto" w:fill="FFFFFF"/>
        </w:rPr>
        <w:t>.</w:t>
      </w:r>
      <w:r>
        <w:rPr>
          <w:rFonts w:asciiTheme="majorHAnsi" w:hAnsiTheme="majorHAnsi"/>
          <w:shd w:val="clear" w:color="auto" w:fill="FFFFFF"/>
        </w:rPr>
        <w:t xml:space="preserve"> Michael will present in Brisbane.</w:t>
      </w:r>
    </w:p>
    <w:p w14:paraId="0AD9880F" w14:textId="77777777" w:rsidR="00111988" w:rsidRDefault="00111988" w:rsidP="00111988">
      <w:pPr>
        <w:rPr>
          <w:b/>
          <w:color w:val="000000"/>
        </w:rPr>
      </w:pPr>
      <w:r w:rsidRPr="00B82EDF">
        <w:rPr>
          <w:rFonts w:eastAsia="Times New Roman"/>
          <w:noProof/>
        </w:rPr>
        <w:drawing>
          <wp:anchor distT="0" distB="0" distL="114300" distR="114300" simplePos="0" relativeHeight="251688960" behindDoc="0" locked="0" layoutInCell="1" allowOverlap="1" wp14:anchorId="79D3E485" wp14:editId="50F2BEC6">
            <wp:simplePos x="0" y="0"/>
            <wp:positionH relativeFrom="column">
              <wp:posOffset>-62230</wp:posOffset>
            </wp:positionH>
            <wp:positionV relativeFrom="paragraph">
              <wp:posOffset>169545</wp:posOffset>
            </wp:positionV>
            <wp:extent cx="1628140" cy="1628140"/>
            <wp:effectExtent l="0" t="0" r="0" b="0"/>
            <wp:wrapThrough wrapText="bothSides">
              <wp:wrapPolygon edited="0">
                <wp:start x="0" y="0"/>
                <wp:lineTo x="0" y="21229"/>
                <wp:lineTo x="21229" y="21229"/>
                <wp:lineTo x="21229" y="0"/>
                <wp:lineTo x="0" y="0"/>
              </wp:wrapPolygon>
            </wp:wrapThrough>
            <wp:docPr id="5" name="Picture 5" descr="https://www.gadens.com/wp-content/uploads/2018/02/Brisbaine_Resize_72dpi_0025_Guy-Edgec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dens.com/wp-content/uploads/2018/02/Brisbaine_Resize_72dpi_0025_Guy-Edgecomb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55B00" w14:textId="77777777" w:rsidR="00111988" w:rsidRDefault="00111988" w:rsidP="00111988">
      <w:pPr>
        <w:rPr>
          <w:rFonts w:ascii="Calibri" w:hAnsi="Calibri" w:cs="Calibri"/>
          <w:b/>
          <w:color w:val="000000"/>
          <w:sz w:val="32"/>
          <w:szCs w:val="32"/>
        </w:rPr>
      </w:pPr>
      <w:r w:rsidRPr="0025435D">
        <w:rPr>
          <w:rFonts w:ascii="Calibri" w:hAnsi="Calibri" w:cs="Calibri"/>
          <w:b/>
          <w:color w:val="000000"/>
          <w:sz w:val="32"/>
          <w:szCs w:val="32"/>
        </w:rPr>
        <w:t>Guy Edgecombe</w:t>
      </w:r>
      <w:r>
        <w:rPr>
          <w:rFonts w:ascii="Calibri" w:hAnsi="Calibri" w:cs="Calibri"/>
          <w:b/>
          <w:color w:val="000000"/>
          <w:sz w:val="32"/>
          <w:szCs w:val="32"/>
        </w:rPr>
        <w:t>, Partner, Gadens</w:t>
      </w:r>
    </w:p>
    <w:p w14:paraId="3DC0E7A4" w14:textId="77777777" w:rsidR="00111988" w:rsidRPr="0025435D" w:rsidRDefault="00111988" w:rsidP="00111988">
      <w:pPr>
        <w:rPr>
          <w:b/>
          <w:color w:val="000000"/>
          <w:sz w:val="32"/>
          <w:szCs w:val="32"/>
        </w:rPr>
      </w:pPr>
    </w:p>
    <w:p w14:paraId="2C8353D9" w14:textId="77777777" w:rsidR="00111988" w:rsidRPr="00B82EDF" w:rsidRDefault="00111988" w:rsidP="00111988">
      <w:pPr>
        <w:shd w:val="clear" w:color="auto" w:fill="FFFFFF"/>
        <w:spacing w:after="150" w:line="270" w:lineRule="atLeast"/>
        <w:jc w:val="both"/>
        <w:rPr>
          <w:rFonts w:ascii="Calibri" w:hAnsi="Calibri" w:cs="Calibri"/>
          <w:color w:val="000000"/>
        </w:rPr>
      </w:pPr>
      <w:r w:rsidRPr="00B82EDF">
        <w:rPr>
          <w:rFonts w:ascii="Calibri" w:hAnsi="Calibri" w:cs="Calibri"/>
          <w:color w:val="000000"/>
        </w:rPr>
        <w:t xml:space="preserve">Guy is a </w:t>
      </w:r>
      <w:r>
        <w:rPr>
          <w:rFonts w:ascii="Calibri" w:hAnsi="Calibri" w:cs="Calibri"/>
          <w:color w:val="000000"/>
        </w:rPr>
        <w:t xml:space="preserve">Partner in </w:t>
      </w:r>
      <w:r w:rsidRPr="00B82EDF">
        <w:rPr>
          <w:rFonts w:ascii="Calibri" w:hAnsi="Calibri" w:cs="Calibri"/>
          <w:color w:val="000000"/>
        </w:rPr>
        <w:t xml:space="preserve">commercial dispute resolution, insolvency and banking recovery specialist </w:t>
      </w:r>
      <w:r>
        <w:rPr>
          <w:rFonts w:ascii="Calibri" w:hAnsi="Calibri" w:cs="Calibri"/>
          <w:color w:val="000000"/>
        </w:rPr>
        <w:t xml:space="preserve">at Gadens </w:t>
      </w:r>
      <w:r w:rsidRPr="00B82EDF">
        <w:rPr>
          <w:rFonts w:ascii="Calibri" w:hAnsi="Calibri" w:cs="Calibri"/>
          <w:color w:val="000000"/>
        </w:rPr>
        <w:t>with over 30 years’ experience and widely admired for his strategic approach.</w:t>
      </w:r>
    </w:p>
    <w:p w14:paraId="45347A6F" w14:textId="77777777" w:rsidR="00111988" w:rsidRPr="00B82EDF" w:rsidRDefault="00111988" w:rsidP="00111988">
      <w:pPr>
        <w:shd w:val="clear" w:color="auto" w:fill="FFFFFF"/>
        <w:spacing w:after="150" w:line="270" w:lineRule="atLeast"/>
        <w:jc w:val="both"/>
        <w:rPr>
          <w:rFonts w:ascii="Calibri" w:hAnsi="Calibri" w:cs="Calibri"/>
          <w:color w:val="000000"/>
        </w:rPr>
      </w:pPr>
      <w:r w:rsidRPr="00B82EDF">
        <w:rPr>
          <w:rFonts w:ascii="Calibri" w:hAnsi="Calibri" w:cs="Calibri"/>
          <w:color w:val="000000"/>
        </w:rPr>
        <w:t>His extensive experience includes advising on issues ranging from secured and unsecured debt recovery and recovery of equipment and real property. He also advises receivers, liquidators and trustees in their administrations and relating to such matters as recovery of uncommercial transactions, preferences and insolvent trading, to name just a few. Having been a long standing member of ARITA, Guy understands the intricacies and legal aspects arising out of insolvencies and reconstructions.</w:t>
      </w:r>
    </w:p>
    <w:p w14:paraId="2F43E6F3" w14:textId="4AF6775A" w:rsidR="00111988" w:rsidRDefault="00111988" w:rsidP="00111988">
      <w:pPr>
        <w:shd w:val="clear" w:color="auto" w:fill="FFFFFF"/>
        <w:spacing w:after="150" w:line="270" w:lineRule="atLeast"/>
        <w:jc w:val="both"/>
        <w:rPr>
          <w:rFonts w:ascii="Calibri" w:hAnsi="Calibri" w:cs="Calibri"/>
          <w:color w:val="000000"/>
        </w:rPr>
      </w:pPr>
      <w:r w:rsidRPr="00B82EDF">
        <w:rPr>
          <w:rFonts w:ascii="Calibri" w:hAnsi="Calibri" w:cs="Calibri"/>
          <w:color w:val="000000"/>
        </w:rPr>
        <w:t>Guy’s clients include financial institutions, professional services firms, liquidators, public and private companies. He delivers regular client training in areas such as risk management and credit control, and has published articles and lectured on a broad range of topics including public risk, insolvency, insurance law and trade practices law</w:t>
      </w:r>
      <w:r w:rsidRPr="00D970E1">
        <w:rPr>
          <w:rFonts w:ascii="Calibri" w:hAnsi="Calibri" w:cs="Calibri"/>
          <w:color w:val="000000"/>
        </w:rPr>
        <w:t>.</w:t>
      </w:r>
      <w:r>
        <w:rPr>
          <w:rFonts w:ascii="Calibri" w:hAnsi="Calibri" w:cs="Calibri"/>
          <w:color w:val="000000"/>
        </w:rPr>
        <w:t xml:space="preserve"> </w:t>
      </w:r>
      <w:r>
        <w:rPr>
          <w:rFonts w:ascii="Calibri" w:hAnsi="Calibri" w:cs="Calibri"/>
          <w:color w:val="000000"/>
        </w:rPr>
        <w:t>Guy will present in Brisbane.</w:t>
      </w:r>
    </w:p>
    <w:p w14:paraId="30FCE442" w14:textId="77777777" w:rsidR="00111988" w:rsidRPr="00111988" w:rsidRDefault="00111988" w:rsidP="00111988">
      <w:pPr>
        <w:shd w:val="clear" w:color="auto" w:fill="FFFFFF"/>
        <w:spacing w:after="150" w:line="270" w:lineRule="atLeast"/>
        <w:jc w:val="both"/>
        <w:rPr>
          <w:rFonts w:ascii="Calibri" w:hAnsi="Calibri" w:cs="Calibri"/>
          <w:color w:val="000000"/>
        </w:rPr>
      </w:pPr>
    </w:p>
    <w:p w14:paraId="5AFFB737" w14:textId="77777777" w:rsidR="00111988" w:rsidRPr="00124223" w:rsidRDefault="00111988" w:rsidP="00111988">
      <w:pPr>
        <w:spacing w:after="200" w:line="276" w:lineRule="auto"/>
        <w:rPr>
          <w:rFonts w:asciiTheme="majorHAnsi" w:hAnsiTheme="majorHAnsi"/>
          <w:b/>
          <w:color w:val="000000"/>
          <w:sz w:val="32"/>
          <w:szCs w:val="32"/>
        </w:rPr>
      </w:pPr>
      <w:r w:rsidRPr="00124223">
        <w:rPr>
          <w:rFonts w:asciiTheme="majorHAnsi" w:eastAsia="Times New Roman" w:hAnsiTheme="majorHAnsi"/>
          <w:noProof/>
          <w:sz w:val="32"/>
          <w:szCs w:val="32"/>
        </w:rPr>
        <w:drawing>
          <wp:anchor distT="0" distB="0" distL="114300" distR="114300" simplePos="0" relativeHeight="251685888" behindDoc="0" locked="0" layoutInCell="1" allowOverlap="1" wp14:anchorId="25F2FB40" wp14:editId="759D7D3F">
            <wp:simplePos x="0" y="0"/>
            <wp:positionH relativeFrom="column">
              <wp:posOffset>50165</wp:posOffset>
            </wp:positionH>
            <wp:positionV relativeFrom="paragraph">
              <wp:posOffset>88265</wp:posOffset>
            </wp:positionV>
            <wp:extent cx="1600835" cy="1600835"/>
            <wp:effectExtent l="0" t="0" r="0" b="0"/>
            <wp:wrapThrough wrapText="bothSides">
              <wp:wrapPolygon edited="0">
                <wp:start x="0" y="0"/>
                <wp:lineTo x="0" y="21249"/>
                <wp:lineTo x="21249" y="21249"/>
                <wp:lineTo x="21249" y="0"/>
                <wp:lineTo x="0" y="0"/>
              </wp:wrapPolygon>
            </wp:wrapThrough>
            <wp:docPr id="4" name="Picture 4" descr="http://www.kempstrang.com.au/sites/default/files/imagecache/person_thumbnail/person/headshot/David%20Murray-Nob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strang.com.au/sites/default/files/imagecache/person_thumbnail/person/headshot/David%20Murray-Nobb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83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223">
        <w:rPr>
          <w:rFonts w:asciiTheme="majorHAnsi" w:hAnsiTheme="majorHAnsi"/>
          <w:b/>
          <w:color w:val="000000"/>
          <w:sz w:val="32"/>
          <w:szCs w:val="32"/>
        </w:rPr>
        <w:t>David Murray-Nobbs</w:t>
      </w:r>
      <w:r>
        <w:rPr>
          <w:rFonts w:asciiTheme="majorHAnsi" w:hAnsiTheme="majorHAnsi"/>
          <w:b/>
          <w:color w:val="000000"/>
          <w:sz w:val="32"/>
          <w:szCs w:val="32"/>
        </w:rPr>
        <w:t>, Partner, Thompson Geer</w:t>
      </w:r>
    </w:p>
    <w:p w14:paraId="1F24A900" w14:textId="77777777" w:rsidR="00111988" w:rsidRPr="00B12278" w:rsidRDefault="00111988" w:rsidP="00111988">
      <w:pPr>
        <w:jc w:val="both"/>
        <w:rPr>
          <w:rFonts w:ascii="Calibri" w:eastAsia="Times New Roman" w:hAnsi="Calibri"/>
        </w:rPr>
      </w:pPr>
      <w:r>
        <w:rPr>
          <w:rFonts w:ascii="Calibri" w:hAnsi="Calibri"/>
          <w:color w:val="000000"/>
        </w:rPr>
        <w:t>David is a P</w:t>
      </w:r>
      <w:r w:rsidRPr="00B12278">
        <w:rPr>
          <w:rFonts w:ascii="Calibri" w:hAnsi="Calibri"/>
          <w:color w:val="000000"/>
        </w:rPr>
        <w:t>artner in Kemp Strang’s banking, finance &amp; property group. David has considerable commercial experience, having practiced as a management accountant with Unilever Limited before working at Kemp Strang. He brings this commercial expertise to his work for some of Australia's largest banks and financial institutions and regularly presents to these clients on legal developments affecting their business.</w:t>
      </w:r>
      <w:r>
        <w:rPr>
          <w:rFonts w:ascii="Calibri" w:hAnsi="Calibri"/>
          <w:color w:val="000000"/>
        </w:rPr>
        <w:t xml:space="preserve"> David will present in all venues.</w:t>
      </w:r>
    </w:p>
    <w:p w14:paraId="70094D64" w14:textId="70CD7ACF" w:rsidR="00111988" w:rsidRPr="00111988" w:rsidRDefault="00111988" w:rsidP="00111988">
      <w:pPr>
        <w:jc w:val="both"/>
        <w:rPr>
          <w:rFonts w:ascii="Calibri" w:hAnsi="Calibri"/>
          <w:color w:val="000000"/>
        </w:rPr>
      </w:pPr>
      <w:r w:rsidRPr="00B12278">
        <w:rPr>
          <w:rFonts w:ascii="Calibri" w:hAnsi="Calibri"/>
          <w:color w:val="000000"/>
        </w:rPr>
        <w:t> </w:t>
      </w:r>
    </w:p>
    <w:p w14:paraId="2FEAE5B9" w14:textId="77777777" w:rsidR="00111988" w:rsidRDefault="00111988" w:rsidP="00111988">
      <w:pPr>
        <w:jc w:val="both"/>
        <w:rPr>
          <w:rFonts w:ascii="Calibri" w:hAnsi="Calibri"/>
          <w:b/>
          <w:color w:val="000000"/>
          <w:sz w:val="32"/>
          <w:szCs w:val="32"/>
        </w:rPr>
      </w:pPr>
    </w:p>
    <w:p w14:paraId="617BAF5D" w14:textId="77777777" w:rsidR="00111988" w:rsidRDefault="00111988" w:rsidP="00111988">
      <w:pPr>
        <w:jc w:val="both"/>
        <w:rPr>
          <w:rFonts w:ascii="Calibri" w:hAnsi="Calibri"/>
          <w:b/>
          <w:color w:val="000000"/>
          <w:sz w:val="32"/>
          <w:szCs w:val="32"/>
        </w:rPr>
      </w:pPr>
      <w:r w:rsidRPr="00B12278">
        <w:rPr>
          <w:rFonts w:ascii="Calibri" w:eastAsia="Times New Roman" w:hAnsi="Calibri"/>
          <w:noProof/>
        </w:rPr>
        <w:drawing>
          <wp:anchor distT="0" distB="0" distL="114300" distR="114300" simplePos="0" relativeHeight="251684864" behindDoc="0" locked="0" layoutInCell="1" allowOverlap="1" wp14:anchorId="35DAC02A" wp14:editId="240AE2DA">
            <wp:simplePos x="0" y="0"/>
            <wp:positionH relativeFrom="column">
              <wp:posOffset>50800</wp:posOffset>
            </wp:positionH>
            <wp:positionV relativeFrom="paragraph">
              <wp:posOffset>29845</wp:posOffset>
            </wp:positionV>
            <wp:extent cx="1717040" cy="1717040"/>
            <wp:effectExtent l="0" t="0" r="0" b="0"/>
            <wp:wrapThrough wrapText="bothSides">
              <wp:wrapPolygon edited="0">
                <wp:start x="0" y="0"/>
                <wp:lineTo x="0" y="21328"/>
                <wp:lineTo x="21328" y="21328"/>
                <wp:lineTo x="21328" y="0"/>
                <wp:lineTo x="0" y="0"/>
              </wp:wrapPolygon>
            </wp:wrapThrough>
            <wp:docPr id="7" name="Picture 7" descr="http://www.kempstrang.com.au/sites/default/files/imagecache/person_thumbnail/person/headshot/Mark%20Saadie%20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strang.com.au/sites/default/files/imagecache/person_thumbnail/person/headshot/Mark%20Saadie%20Web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278">
        <w:rPr>
          <w:rFonts w:ascii="Calibri" w:hAnsi="Calibri"/>
          <w:b/>
          <w:color w:val="000000"/>
          <w:sz w:val="32"/>
          <w:szCs w:val="32"/>
        </w:rPr>
        <w:t>Marc Saadie</w:t>
      </w:r>
      <w:r>
        <w:rPr>
          <w:rFonts w:ascii="Calibri" w:hAnsi="Calibri"/>
          <w:b/>
          <w:color w:val="000000"/>
          <w:sz w:val="32"/>
          <w:szCs w:val="32"/>
        </w:rPr>
        <w:t>, Partner, Thompson Geer</w:t>
      </w:r>
    </w:p>
    <w:p w14:paraId="610375B9" w14:textId="77777777" w:rsidR="00111988" w:rsidRPr="00B12278" w:rsidRDefault="00111988" w:rsidP="00111988">
      <w:pPr>
        <w:jc w:val="both"/>
        <w:rPr>
          <w:rFonts w:ascii="Calibri" w:hAnsi="Calibri"/>
          <w:b/>
          <w:color w:val="000000"/>
        </w:rPr>
      </w:pPr>
    </w:p>
    <w:p w14:paraId="5CC82C79" w14:textId="79FA7EDC" w:rsidR="00111988" w:rsidRPr="00280F15" w:rsidRDefault="00111988" w:rsidP="00111988">
      <w:pPr>
        <w:jc w:val="both"/>
        <w:rPr>
          <w:rFonts w:ascii="Calibri" w:hAnsi="Calibri" w:cs="Calibri"/>
          <w:color w:val="000000"/>
        </w:rPr>
      </w:pPr>
      <w:r>
        <w:rPr>
          <w:rFonts w:ascii="Calibri" w:hAnsi="Calibri" w:cs="Calibri"/>
          <w:color w:val="000000"/>
        </w:rPr>
        <w:t>Marc is a Kemp Strang P</w:t>
      </w:r>
      <w:r w:rsidRPr="00280F15">
        <w:rPr>
          <w:rFonts w:ascii="Calibri" w:hAnsi="Calibri" w:cs="Calibri"/>
          <w:color w:val="000000"/>
        </w:rPr>
        <w:t>artner with widespread experience in a number of legal disciplines, including banking and finance, property and construction, and commercial law.</w:t>
      </w:r>
    </w:p>
    <w:p w14:paraId="065EF7E0" w14:textId="35B5A6D8" w:rsidR="00111988" w:rsidRDefault="00111988" w:rsidP="00111988">
      <w:pPr>
        <w:jc w:val="both"/>
        <w:rPr>
          <w:rFonts w:ascii="Calibri" w:hAnsi="Calibri" w:cs="Calibri"/>
          <w:color w:val="000000"/>
        </w:rPr>
      </w:pPr>
      <w:r w:rsidRPr="00280F15">
        <w:rPr>
          <w:rFonts w:ascii="Calibri" w:hAnsi="Calibri" w:cs="Calibri"/>
          <w:color w:val="000000"/>
        </w:rPr>
        <w:t>Marc acts for a number of major banks, financial institutions, insolvency practitioners and commercial clients in relation to all aspects of property, commercial and finance related transactions, and focuses on giving sound strategic advice to achieve commercial outcomes.</w:t>
      </w:r>
      <w:r>
        <w:rPr>
          <w:rFonts w:ascii="Calibri" w:hAnsi="Calibri" w:cs="Calibri"/>
          <w:color w:val="000000"/>
        </w:rPr>
        <w:t xml:space="preserve"> </w:t>
      </w:r>
    </w:p>
    <w:p w14:paraId="452228B2" w14:textId="4A7FFB2C" w:rsidR="004358D2" w:rsidRPr="004358D2" w:rsidRDefault="00111988" w:rsidP="004358D2">
      <w:pPr>
        <w:ind w:left="2160" w:firstLine="720"/>
        <w:jc w:val="both"/>
        <w:rPr>
          <w:rFonts w:ascii="Calibri" w:hAnsi="Calibri" w:cs="Calibri"/>
          <w:color w:val="000000"/>
        </w:rPr>
      </w:pPr>
      <w:r>
        <w:rPr>
          <w:rFonts w:ascii="Calibri" w:hAnsi="Calibri" w:cs="Calibri"/>
          <w:color w:val="000000"/>
        </w:rPr>
        <w:t>Marc will present in all venues.</w:t>
      </w:r>
    </w:p>
    <w:p w14:paraId="780FC2C9" w14:textId="5E52FE91" w:rsidR="00111988" w:rsidRPr="00111988" w:rsidRDefault="00111988" w:rsidP="00111988">
      <w:pPr>
        <w:spacing w:after="200" w:line="276" w:lineRule="auto"/>
        <w:rPr>
          <w:rFonts w:ascii="Calibri" w:hAnsi="Calibri" w:cs="Calibri"/>
          <w:b/>
          <w:color w:val="000000"/>
          <w:sz w:val="32"/>
          <w:szCs w:val="32"/>
        </w:rPr>
      </w:pPr>
      <w:r>
        <w:rPr>
          <w:rFonts w:eastAsia="Times New Roman"/>
          <w:noProof/>
        </w:rPr>
        <w:lastRenderedPageBreak/>
        <w:drawing>
          <wp:anchor distT="0" distB="0" distL="114300" distR="114300" simplePos="0" relativeHeight="251699200" behindDoc="0" locked="0" layoutInCell="1" allowOverlap="1" wp14:anchorId="50AD85A2" wp14:editId="13FFD236">
            <wp:simplePos x="0" y="0"/>
            <wp:positionH relativeFrom="column">
              <wp:posOffset>50800</wp:posOffset>
            </wp:positionH>
            <wp:positionV relativeFrom="paragraph">
              <wp:posOffset>109855</wp:posOffset>
            </wp:positionV>
            <wp:extent cx="1704340" cy="1704340"/>
            <wp:effectExtent l="0" t="0" r="0" b="0"/>
            <wp:wrapThrough wrapText="bothSides">
              <wp:wrapPolygon edited="0">
                <wp:start x="0" y="0"/>
                <wp:lineTo x="0" y="21246"/>
                <wp:lineTo x="21246" y="21246"/>
                <wp:lineTo x="21246" y="0"/>
                <wp:lineTo x="0" y="0"/>
              </wp:wrapPolygon>
            </wp:wrapThrough>
            <wp:docPr id="25" name="Picture 25" descr="http://www.universitychambers.com.au/wp-content/uploads/2019/08/Edwina_Keynes_5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ersitychambers.com.au/wp-content/uploads/2019/08/Edwina_Keynes_548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0000"/>
          <w:sz w:val="32"/>
          <w:szCs w:val="32"/>
        </w:rPr>
        <w:t>Edwina Keynes, Barrister</w:t>
      </w:r>
    </w:p>
    <w:p w14:paraId="0FB0879E" w14:textId="63694F24" w:rsidR="00111988" w:rsidRPr="00856413" w:rsidRDefault="00111988" w:rsidP="00111988">
      <w:pPr>
        <w:jc w:val="both"/>
        <w:rPr>
          <w:rFonts w:ascii="Calibri" w:hAnsi="Calibri" w:cs="Calibri"/>
          <w:color w:val="000000"/>
        </w:rPr>
      </w:pPr>
      <w:r>
        <w:rPr>
          <w:rFonts w:ascii="Calibri" w:hAnsi="Calibri" w:cs="Calibri"/>
          <w:color w:val="000000"/>
        </w:rPr>
        <w:t xml:space="preserve">Edwina </w:t>
      </w:r>
      <w:r>
        <w:rPr>
          <w:rFonts w:ascii="Calibri" w:hAnsi="Calibri" w:cs="Calibri"/>
          <w:color w:val="000000"/>
        </w:rPr>
        <w:t xml:space="preserve">is a Barrister at University Chambers in Sydney. She </w:t>
      </w:r>
      <w:r w:rsidRPr="00856413">
        <w:rPr>
          <w:rFonts w:ascii="Calibri" w:hAnsi="Calibri" w:cs="Calibri"/>
          <w:color w:val="000000"/>
        </w:rPr>
        <w:t>was admitted as a solicitor in 2012 and called to the bar in 2018. She holds a Bachelor of Law (Honours) and Bachelor of International Studies.</w:t>
      </w:r>
    </w:p>
    <w:p w14:paraId="024F6FC6" w14:textId="77777777" w:rsidR="00111988" w:rsidRPr="00856413" w:rsidRDefault="00111988" w:rsidP="00111988">
      <w:pPr>
        <w:jc w:val="both"/>
        <w:rPr>
          <w:rFonts w:ascii="Calibri" w:hAnsi="Calibri" w:cs="Calibri"/>
          <w:color w:val="000000"/>
        </w:rPr>
      </w:pPr>
      <w:r w:rsidRPr="00856413">
        <w:rPr>
          <w:rFonts w:ascii="Calibri" w:hAnsi="Calibri" w:cs="Calibri"/>
          <w:color w:val="000000"/>
        </w:rPr>
        <w:t>She practices predominantly in general commercial litigation with a particular interest in bankruptcy and corporate insolvency. Her practice also includes banking and finance law, real property, building and construction, equity, trusts, consumer and contract law. Her experience includes appearing unled at trials at the local and district court levels and applications of both an interlocutory and substantive nature in the Federal Court and Supreme Courts of both New South Wales and Victoria.</w:t>
      </w:r>
    </w:p>
    <w:p w14:paraId="3C7FBB53" w14:textId="7EEAA1D5" w:rsidR="00111988" w:rsidRPr="00856413" w:rsidRDefault="00111988" w:rsidP="00111988">
      <w:pPr>
        <w:jc w:val="both"/>
        <w:rPr>
          <w:rFonts w:ascii="Calibri" w:hAnsi="Calibri" w:cs="Calibri"/>
          <w:color w:val="000000"/>
        </w:rPr>
      </w:pPr>
      <w:r w:rsidRPr="00856413">
        <w:rPr>
          <w:rFonts w:ascii="Calibri" w:hAnsi="Calibri" w:cs="Calibri"/>
          <w:color w:val="000000"/>
        </w:rPr>
        <w:t xml:space="preserve">Prior to coming to the Bar, </w:t>
      </w:r>
      <w:r>
        <w:rPr>
          <w:rFonts w:ascii="Calibri" w:hAnsi="Calibri" w:cs="Calibri"/>
          <w:color w:val="000000"/>
        </w:rPr>
        <w:t xml:space="preserve">Edwina </w:t>
      </w:r>
      <w:r w:rsidRPr="00856413">
        <w:rPr>
          <w:rFonts w:ascii="Calibri" w:hAnsi="Calibri" w:cs="Calibri"/>
          <w:color w:val="000000"/>
        </w:rPr>
        <w:t xml:space="preserve">practised as a solicitor in commercial litigation in the New South Wales, Victorian and South Australian jurisdictions. She regularly appeared and advised in general commercial, insolvency and corporate matters including appearing in the Supreme, Federal, District and Local Courts. </w:t>
      </w:r>
      <w:r>
        <w:rPr>
          <w:rFonts w:ascii="Calibri" w:hAnsi="Calibri" w:cs="Calibri"/>
          <w:color w:val="000000"/>
        </w:rPr>
        <w:t>Edwina</w:t>
      </w:r>
      <w:r>
        <w:rPr>
          <w:rFonts w:ascii="Calibri" w:hAnsi="Calibri" w:cs="Calibri"/>
          <w:color w:val="000000"/>
        </w:rPr>
        <w:t xml:space="preserve"> </w:t>
      </w:r>
      <w:r w:rsidRPr="00856413">
        <w:rPr>
          <w:rFonts w:ascii="Calibri" w:hAnsi="Calibri" w:cs="Calibri"/>
          <w:color w:val="000000"/>
        </w:rPr>
        <w:t>was also the associate to the Honourable Justice Anderson of the Supreme Court of South Australia.</w:t>
      </w:r>
      <w:r w:rsidR="00BF5D01">
        <w:rPr>
          <w:rFonts w:ascii="Calibri" w:hAnsi="Calibri" w:cs="Calibri"/>
          <w:color w:val="000000"/>
        </w:rPr>
        <w:t xml:space="preserve"> Edwina will present at each venue.</w:t>
      </w:r>
    </w:p>
    <w:p w14:paraId="7D215BAE" w14:textId="77777777" w:rsidR="00AC5C7D" w:rsidRDefault="00AC5C7D" w:rsidP="00111988">
      <w:pPr>
        <w:pBdr>
          <w:top w:val="nil"/>
          <w:left w:val="nil"/>
          <w:bottom w:val="nil"/>
          <w:right w:val="nil"/>
          <w:between w:val="nil"/>
        </w:pBdr>
        <w:spacing w:line="360" w:lineRule="auto"/>
        <w:rPr>
          <w:rFonts w:ascii="Calibri" w:hAnsi="Calibri" w:cs="Calibri"/>
          <w:color w:val="17365D"/>
          <w:sz w:val="32"/>
          <w:szCs w:val="32"/>
        </w:rPr>
      </w:pPr>
    </w:p>
    <w:p w14:paraId="3B12E97B" w14:textId="77777777" w:rsidR="00AC5C7D" w:rsidRDefault="00AC5C7D" w:rsidP="00111988">
      <w:pPr>
        <w:pBdr>
          <w:top w:val="nil"/>
          <w:left w:val="nil"/>
          <w:bottom w:val="nil"/>
          <w:right w:val="nil"/>
          <w:between w:val="nil"/>
        </w:pBdr>
        <w:spacing w:line="360" w:lineRule="auto"/>
        <w:rPr>
          <w:rFonts w:ascii="Calibri" w:hAnsi="Calibri" w:cs="Calibri"/>
          <w:color w:val="17365D"/>
          <w:sz w:val="32"/>
          <w:szCs w:val="32"/>
        </w:rPr>
      </w:pPr>
    </w:p>
    <w:p w14:paraId="5F93E9B3" w14:textId="77777777" w:rsidR="00AC5C7D" w:rsidRPr="00111988" w:rsidRDefault="00AC5C7D" w:rsidP="00111988">
      <w:pPr>
        <w:pBdr>
          <w:top w:val="nil"/>
          <w:left w:val="nil"/>
          <w:bottom w:val="nil"/>
          <w:right w:val="nil"/>
          <w:between w:val="nil"/>
        </w:pBdr>
        <w:spacing w:line="360" w:lineRule="auto"/>
        <w:rPr>
          <w:rFonts w:ascii="Calibri" w:hAnsi="Calibri" w:cs="Calibri"/>
          <w:color w:val="17365D"/>
          <w:sz w:val="32"/>
          <w:szCs w:val="32"/>
        </w:rPr>
      </w:pPr>
    </w:p>
    <w:p w14:paraId="0F099306" w14:textId="77AD1D15" w:rsidR="00111988" w:rsidRPr="00AC5C7D" w:rsidRDefault="00AC5C7D" w:rsidP="00111988">
      <w:pPr>
        <w:pBdr>
          <w:top w:val="nil"/>
          <w:left w:val="nil"/>
          <w:bottom w:val="nil"/>
          <w:right w:val="nil"/>
          <w:between w:val="nil"/>
        </w:pBdr>
        <w:spacing w:line="360" w:lineRule="auto"/>
        <w:rPr>
          <w:rFonts w:ascii="Calibri" w:hAnsi="Calibri" w:cs="Calibri"/>
          <w:b/>
          <w:color w:val="17365D"/>
          <w:sz w:val="32"/>
          <w:szCs w:val="32"/>
          <w:u w:val="single"/>
        </w:rPr>
      </w:pPr>
      <w:r w:rsidRPr="00AC5C7D">
        <w:rPr>
          <w:rFonts w:ascii="Calibri" w:hAnsi="Calibri" w:cs="Calibri"/>
          <w:b/>
          <w:color w:val="17365D"/>
          <w:sz w:val="32"/>
          <w:szCs w:val="32"/>
          <w:u w:val="single"/>
        </w:rPr>
        <w:t>Dates and Venues:</w:t>
      </w:r>
    </w:p>
    <w:p w14:paraId="3DDA1355" w14:textId="77777777" w:rsidR="00AC5C7D" w:rsidRDefault="00111988" w:rsidP="00111988">
      <w:pPr>
        <w:pBdr>
          <w:top w:val="nil"/>
          <w:left w:val="nil"/>
          <w:bottom w:val="nil"/>
          <w:right w:val="nil"/>
          <w:between w:val="nil"/>
        </w:pBdr>
        <w:spacing w:line="360" w:lineRule="auto"/>
        <w:rPr>
          <w:rFonts w:ascii="Calibri" w:hAnsi="Calibri" w:cs="Calibri"/>
          <w:color w:val="17365D"/>
          <w:sz w:val="32"/>
          <w:szCs w:val="32"/>
        </w:rPr>
      </w:pPr>
      <w:r w:rsidRPr="00111988">
        <w:rPr>
          <w:rFonts w:ascii="Calibri" w:hAnsi="Calibri" w:cs="Calibri"/>
          <w:color w:val="17365D"/>
          <w:sz w:val="32"/>
          <w:szCs w:val="32"/>
        </w:rPr>
        <w:t>Melbour</w:t>
      </w:r>
      <w:r w:rsidR="00AC5C7D">
        <w:rPr>
          <w:rFonts w:ascii="Calibri" w:hAnsi="Calibri" w:cs="Calibri"/>
          <w:color w:val="17365D"/>
          <w:sz w:val="32"/>
          <w:szCs w:val="32"/>
        </w:rPr>
        <w:t xml:space="preserve">ne - Monday, 21st October 2019 </w:t>
      </w:r>
    </w:p>
    <w:p w14:paraId="487965F2" w14:textId="77777777" w:rsidR="00AC5C7D" w:rsidRDefault="00111988" w:rsidP="00111988">
      <w:pPr>
        <w:pBdr>
          <w:top w:val="nil"/>
          <w:left w:val="nil"/>
          <w:bottom w:val="nil"/>
          <w:right w:val="nil"/>
          <w:between w:val="nil"/>
        </w:pBdr>
        <w:spacing w:line="360" w:lineRule="auto"/>
        <w:rPr>
          <w:rFonts w:ascii="Calibri" w:hAnsi="Calibri" w:cs="Calibri"/>
          <w:color w:val="17365D"/>
          <w:sz w:val="32"/>
          <w:szCs w:val="32"/>
        </w:rPr>
      </w:pPr>
      <w:r w:rsidRPr="00111988">
        <w:rPr>
          <w:rFonts w:ascii="Calibri" w:hAnsi="Calibri" w:cs="Calibri"/>
          <w:color w:val="17365D"/>
          <w:sz w:val="32"/>
          <w:szCs w:val="32"/>
        </w:rPr>
        <w:t>Karste</w:t>
      </w:r>
      <w:r w:rsidR="00AC5C7D">
        <w:rPr>
          <w:rFonts w:ascii="Calibri" w:hAnsi="Calibri" w:cs="Calibri"/>
          <w:color w:val="17365D"/>
          <w:sz w:val="32"/>
          <w:szCs w:val="32"/>
        </w:rPr>
        <w:t>ns, 123 Queen Street, Melbourne</w:t>
      </w:r>
      <w:r w:rsidRPr="00111988">
        <w:rPr>
          <w:rFonts w:ascii="Calibri" w:hAnsi="Calibri" w:cs="Calibri"/>
          <w:color w:val="17365D"/>
          <w:sz w:val="32"/>
          <w:szCs w:val="32"/>
        </w:rPr>
        <w:br/>
      </w:r>
    </w:p>
    <w:p w14:paraId="403387F9" w14:textId="7448E0A8" w:rsidR="00AC5C7D" w:rsidRDefault="00111988" w:rsidP="00111988">
      <w:pPr>
        <w:pBdr>
          <w:top w:val="nil"/>
          <w:left w:val="nil"/>
          <w:bottom w:val="nil"/>
          <w:right w:val="nil"/>
          <w:between w:val="nil"/>
        </w:pBdr>
        <w:spacing w:line="360" w:lineRule="auto"/>
        <w:rPr>
          <w:rFonts w:ascii="Calibri" w:hAnsi="Calibri" w:cs="Calibri"/>
          <w:color w:val="17365D"/>
          <w:sz w:val="32"/>
          <w:szCs w:val="32"/>
        </w:rPr>
      </w:pPr>
      <w:r w:rsidRPr="00111988">
        <w:rPr>
          <w:rFonts w:ascii="Calibri" w:hAnsi="Calibri" w:cs="Calibri"/>
          <w:color w:val="17365D"/>
          <w:sz w:val="32"/>
          <w:szCs w:val="32"/>
        </w:rPr>
        <w:t xml:space="preserve">Sydney - Friday, 25th October 2019 </w:t>
      </w:r>
    </w:p>
    <w:p w14:paraId="2ADF94E1" w14:textId="03894B80" w:rsidR="00AC5C7D" w:rsidRDefault="004358D2" w:rsidP="00111988">
      <w:pPr>
        <w:pBdr>
          <w:top w:val="nil"/>
          <w:left w:val="nil"/>
          <w:bottom w:val="nil"/>
          <w:right w:val="nil"/>
          <w:between w:val="nil"/>
        </w:pBdr>
        <w:spacing w:line="360" w:lineRule="auto"/>
        <w:rPr>
          <w:rFonts w:ascii="Calibri" w:hAnsi="Calibri" w:cs="Calibri"/>
          <w:color w:val="17365D"/>
          <w:sz w:val="32"/>
          <w:szCs w:val="32"/>
        </w:rPr>
      </w:pPr>
      <w:r>
        <w:rPr>
          <w:rFonts w:ascii="Calibri" w:hAnsi="Calibri" w:cs="Calibri"/>
          <w:color w:val="17365D"/>
          <w:sz w:val="32"/>
          <w:szCs w:val="32"/>
        </w:rPr>
        <w:t>Sydney</w:t>
      </w:r>
      <w:r w:rsidR="00AC5C7D">
        <w:rPr>
          <w:rFonts w:ascii="Calibri" w:hAnsi="Calibri" w:cs="Calibri"/>
          <w:color w:val="17365D"/>
          <w:sz w:val="32"/>
          <w:szCs w:val="32"/>
        </w:rPr>
        <w:t xml:space="preserve"> </w:t>
      </w:r>
      <w:r w:rsidR="00111988" w:rsidRPr="00111988">
        <w:rPr>
          <w:rFonts w:ascii="Calibri" w:hAnsi="Calibri" w:cs="Calibri"/>
          <w:color w:val="17365D"/>
          <w:sz w:val="32"/>
          <w:szCs w:val="32"/>
        </w:rPr>
        <w:t>Masonic Cen</w:t>
      </w:r>
      <w:r w:rsidR="00AC5C7D">
        <w:rPr>
          <w:rFonts w:ascii="Calibri" w:hAnsi="Calibri" w:cs="Calibri"/>
          <w:color w:val="17365D"/>
          <w:sz w:val="32"/>
          <w:szCs w:val="32"/>
        </w:rPr>
        <w:t>tre, 66 Goulburn Street, Sydney</w:t>
      </w:r>
      <w:r w:rsidR="00111988" w:rsidRPr="00111988">
        <w:rPr>
          <w:rFonts w:ascii="Calibri" w:hAnsi="Calibri" w:cs="Calibri"/>
          <w:color w:val="17365D"/>
          <w:sz w:val="32"/>
          <w:szCs w:val="32"/>
        </w:rPr>
        <w:br/>
      </w:r>
    </w:p>
    <w:p w14:paraId="7222877A" w14:textId="5E5F3B5A" w:rsidR="00AC5C7D" w:rsidRDefault="00111988" w:rsidP="00111988">
      <w:pPr>
        <w:pBdr>
          <w:top w:val="nil"/>
          <w:left w:val="nil"/>
          <w:bottom w:val="nil"/>
          <w:right w:val="nil"/>
          <w:between w:val="nil"/>
        </w:pBdr>
        <w:spacing w:line="360" w:lineRule="auto"/>
        <w:rPr>
          <w:rFonts w:ascii="Calibri" w:hAnsi="Calibri" w:cs="Calibri"/>
          <w:color w:val="17365D"/>
          <w:sz w:val="32"/>
          <w:szCs w:val="32"/>
        </w:rPr>
      </w:pPr>
      <w:r w:rsidRPr="00111988">
        <w:rPr>
          <w:rFonts w:ascii="Calibri" w:hAnsi="Calibri" w:cs="Calibri"/>
          <w:color w:val="17365D"/>
          <w:sz w:val="32"/>
          <w:szCs w:val="32"/>
        </w:rPr>
        <w:t>Brisba</w:t>
      </w:r>
      <w:r w:rsidR="00AC5C7D">
        <w:rPr>
          <w:rFonts w:ascii="Calibri" w:hAnsi="Calibri" w:cs="Calibri"/>
          <w:color w:val="17365D"/>
          <w:sz w:val="32"/>
          <w:szCs w:val="32"/>
        </w:rPr>
        <w:t>ne - Monday, 28th October 2019 </w:t>
      </w:r>
    </w:p>
    <w:p w14:paraId="7D5A0ED0" w14:textId="036C77CF" w:rsidR="00111988" w:rsidRPr="00111988" w:rsidRDefault="00111988" w:rsidP="00111988">
      <w:pPr>
        <w:pBdr>
          <w:top w:val="nil"/>
          <w:left w:val="nil"/>
          <w:bottom w:val="nil"/>
          <w:right w:val="nil"/>
          <w:between w:val="nil"/>
        </w:pBdr>
        <w:spacing w:line="360" w:lineRule="auto"/>
        <w:rPr>
          <w:rFonts w:ascii="Calibri" w:hAnsi="Calibri" w:cs="Calibri"/>
          <w:color w:val="17365D"/>
          <w:sz w:val="32"/>
          <w:szCs w:val="32"/>
        </w:rPr>
      </w:pPr>
      <w:r w:rsidRPr="00111988">
        <w:rPr>
          <w:rFonts w:ascii="Calibri" w:hAnsi="Calibri" w:cs="Calibri"/>
          <w:color w:val="17365D"/>
          <w:sz w:val="32"/>
          <w:szCs w:val="32"/>
        </w:rPr>
        <w:t>Queensland Law So</w:t>
      </w:r>
      <w:r w:rsidR="004358D2">
        <w:rPr>
          <w:rFonts w:ascii="Calibri" w:hAnsi="Calibri" w:cs="Calibri"/>
          <w:color w:val="17365D"/>
          <w:sz w:val="32"/>
          <w:szCs w:val="32"/>
        </w:rPr>
        <w:t>ciety, 179 Ann Street, Brisbane</w:t>
      </w:r>
    </w:p>
    <w:p w14:paraId="0674CDB5"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54314560"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013F65C5"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782FEDA3"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61BC7376"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29101BA2"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bookmarkStart w:id="1" w:name="_GoBack"/>
      <w:bookmarkEnd w:id="1"/>
    </w:p>
    <w:p w14:paraId="6A00E38D"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3F267FEC" w14:textId="77777777" w:rsidR="00AC5C7D" w:rsidRDefault="00AC5C7D" w:rsidP="00111988">
      <w:pPr>
        <w:pBdr>
          <w:top w:val="nil"/>
          <w:left w:val="nil"/>
          <w:bottom w:val="nil"/>
          <w:right w:val="nil"/>
          <w:between w:val="nil"/>
        </w:pBdr>
        <w:spacing w:line="276" w:lineRule="auto"/>
        <w:outlineLvl w:val="0"/>
        <w:rPr>
          <w:rFonts w:ascii="Calibri" w:hAnsi="Calibri" w:cs="Calibri"/>
          <w:color w:val="17365D"/>
          <w:sz w:val="18"/>
          <w:szCs w:val="18"/>
        </w:rPr>
      </w:pPr>
    </w:p>
    <w:p w14:paraId="607DCFB6" w14:textId="77777777" w:rsidR="00111988" w:rsidRDefault="00111988" w:rsidP="00111988">
      <w:pPr>
        <w:pBdr>
          <w:top w:val="nil"/>
          <w:left w:val="nil"/>
          <w:bottom w:val="nil"/>
          <w:right w:val="nil"/>
          <w:between w:val="nil"/>
        </w:pBdr>
        <w:spacing w:line="276" w:lineRule="auto"/>
        <w:outlineLvl w:val="0"/>
        <w:rPr>
          <w:rFonts w:ascii="Calibri" w:hAnsi="Calibri" w:cs="Calibri"/>
          <w:color w:val="17365D"/>
          <w:sz w:val="18"/>
          <w:szCs w:val="18"/>
        </w:rPr>
      </w:pPr>
      <w:r w:rsidRPr="0007500B">
        <w:rPr>
          <w:rFonts w:ascii="Calibri" w:hAnsi="Calibri" w:cs="Calibri"/>
          <w:color w:val="17365D"/>
          <w:sz w:val="18"/>
          <w:szCs w:val="18"/>
        </w:rPr>
        <w:t xml:space="preserve">Please return completed form by mail to </w:t>
      </w:r>
      <w:r w:rsidRPr="00856413">
        <w:rPr>
          <w:rFonts w:ascii="Calibri" w:hAnsi="Calibri" w:cs="Calibri"/>
          <w:b/>
          <w:color w:val="17365D"/>
          <w:sz w:val="18"/>
          <w:szCs w:val="18"/>
        </w:rPr>
        <w:t>Traill &amp; Associates Suite 1A, Level 2, 802 Pacific Highway, Gordon, 2072</w:t>
      </w:r>
    </w:p>
    <w:p w14:paraId="55966EAE" w14:textId="77777777" w:rsidR="00111988" w:rsidRPr="0007500B" w:rsidRDefault="00111988" w:rsidP="00111988">
      <w:pPr>
        <w:pBdr>
          <w:top w:val="nil"/>
          <w:left w:val="nil"/>
          <w:bottom w:val="nil"/>
          <w:right w:val="nil"/>
          <w:between w:val="nil"/>
        </w:pBdr>
        <w:spacing w:line="276" w:lineRule="auto"/>
        <w:outlineLvl w:val="0"/>
        <w:rPr>
          <w:rFonts w:ascii="Calibri" w:hAnsi="Calibri" w:cs="Calibri"/>
          <w:b/>
          <w:color w:val="17365D"/>
          <w:sz w:val="18"/>
          <w:szCs w:val="18"/>
        </w:rPr>
      </w:pPr>
      <w:r w:rsidRPr="0007500B">
        <w:rPr>
          <w:rFonts w:ascii="Calibri" w:hAnsi="Calibri" w:cs="Calibri"/>
          <w:color w:val="17365D"/>
          <w:sz w:val="18"/>
          <w:szCs w:val="18"/>
        </w:rPr>
        <w:t xml:space="preserve">Enquiries : </w:t>
      </w:r>
      <w:r w:rsidRPr="0007500B">
        <w:rPr>
          <w:rFonts w:ascii="Calibri" w:hAnsi="Calibri" w:cs="Calibri"/>
          <w:b/>
          <w:color w:val="17365D"/>
          <w:sz w:val="18"/>
          <w:szCs w:val="18"/>
        </w:rPr>
        <w:t>0405 136 001  or rtraill@traillassociates.com.au</w:t>
      </w:r>
    </w:p>
    <w:p w14:paraId="0720E2D4" w14:textId="77777777" w:rsidR="00111988" w:rsidRPr="0007500B" w:rsidRDefault="00111988" w:rsidP="00111988">
      <w:pPr>
        <w:pBdr>
          <w:top w:val="nil"/>
          <w:left w:val="nil"/>
          <w:bottom w:val="nil"/>
          <w:right w:val="nil"/>
          <w:between w:val="nil"/>
        </w:pBdr>
        <w:spacing w:line="276" w:lineRule="auto"/>
        <w:outlineLvl w:val="0"/>
        <w:rPr>
          <w:rFonts w:ascii="Calibri" w:hAnsi="Calibri" w:cs="Calibri"/>
          <w:b/>
          <w:color w:val="17365D"/>
          <w:sz w:val="18"/>
          <w:szCs w:val="18"/>
        </w:rPr>
      </w:pPr>
      <w:r w:rsidRPr="0007500B">
        <w:rPr>
          <w:rFonts w:ascii="Calibri" w:hAnsi="Calibri" w:cs="Calibri"/>
          <w:color w:val="17365D"/>
          <w:sz w:val="18"/>
          <w:szCs w:val="18"/>
        </w:rPr>
        <w:t xml:space="preserve">Attach any names of additional registrants separately. </w:t>
      </w:r>
    </w:p>
    <w:p w14:paraId="13AA9BC9" w14:textId="77777777" w:rsidR="00111988" w:rsidRPr="0007500B" w:rsidRDefault="00111988" w:rsidP="00111988">
      <w:pPr>
        <w:pBdr>
          <w:top w:val="nil"/>
          <w:left w:val="nil"/>
          <w:bottom w:val="nil"/>
          <w:right w:val="nil"/>
          <w:between w:val="nil"/>
        </w:pBdr>
        <w:spacing w:line="276" w:lineRule="auto"/>
        <w:rPr>
          <w:rFonts w:ascii="Calibri" w:hAnsi="Calibri" w:cs="Calibri"/>
          <w:color w:val="17365D"/>
          <w:sz w:val="16"/>
          <w:szCs w:val="16"/>
        </w:rPr>
      </w:pPr>
      <w:r w:rsidRPr="0007500B">
        <w:rPr>
          <w:rFonts w:ascii="Calibri" w:hAnsi="Calibri" w:cs="Calibri"/>
          <w:noProof/>
          <w:color w:val="000000"/>
          <w:sz w:val="22"/>
          <w:szCs w:val="22"/>
        </w:rPr>
        <w:drawing>
          <wp:anchor distT="0" distB="0" distL="114300" distR="114300" simplePos="0" relativeHeight="251695104" behindDoc="1" locked="0" layoutInCell="1" hidden="0" allowOverlap="1" wp14:anchorId="4FB291F5" wp14:editId="1096330E">
            <wp:simplePos x="0" y="0"/>
            <wp:positionH relativeFrom="margin">
              <wp:posOffset>5376545</wp:posOffset>
            </wp:positionH>
            <wp:positionV relativeFrom="paragraph">
              <wp:posOffset>244475</wp:posOffset>
            </wp:positionV>
            <wp:extent cx="1446530" cy="354330"/>
            <wp:effectExtent l="0" t="0" r="1270" b="7620"/>
            <wp:wrapTight wrapText="bothSides">
              <wp:wrapPolygon edited="0">
                <wp:start x="0" y="0"/>
                <wp:lineTo x="0" y="20903"/>
                <wp:lineTo x="21335" y="20903"/>
                <wp:lineTo x="21335" y="0"/>
                <wp:lineTo x="0" y="0"/>
              </wp:wrapPolygon>
            </wp:wrapTight>
            <wp:docPr id="20" name="image2.jpg" descr="D:\Sue\Work Stuff\Traill Assoc\New Traill Logo.jpg"/>
            <wp:cNvGraphicFramePr/>
            <a:graphic xmlns:a="http://schemas.openxmlformats.org/drawingml/2006/main">
              <a:graphicData uri="http://schemas.openxmlformats.org/drawingml/2006/picture">
                <pic:pic xmlns:pic="http://schemas.openxmlformats.org/drawingml/2006/picture">
                  <pic:nvPicPr>
                    <pic:cNvPr id="0" name="image2.jpg" descr="D:\Sue\Work Stuff\Traill Assoc\New Traill Logo.jpg"/>
                    <pic:cNvPicPr preferRelativeResize="0"/>
                  </pic:nvPicPr>
                  <pic:blipFill>
                    <a:blip r:embed="rId6"/>
                    <a:srcRect/>
                    <a:stretch>
                      <a:fillRect/>
                    </a:stretch>
                  </pic:blipFill>
                  <pic:spPr>
                    <a:xfrm>
                      <a:off x="0" y="0"/>
                      <a:ext cx="1446530" cy="354330"/>
                    </a:xfrm>
                    <a:prstGeom prst="rect">
                      <a:avLst/>
                    </a:prstGeom>
                    <a:ln/>
                  </pic:spPr>
                </pic:pic>
              </a:graphicData>
            </a:graphic>
            <wp14:sizeRelH relativeFrom="margin">
              <wp14:pctWidth>0</wp14:pctWidth>
            </wp14:sizeRelH>
            <wp14:sizeRelV relativeFrom="margin">
              <wp14:pctHeight>0</wp14:pctHeight>
            </wp14:sizeRelV>
          </wp:anchor>
        </w:drawing>
      </w:r>
      <w:r w:rsidRPr="0007500B">
        <w:rPr>
          <w:rFonts w:ascii="Calibri" w:hAnsi="Calibri" w:cs="Calibri"/>
          <w:color w:val="17365D"/>
          <w:sz w:val="16"/>
          <w:szCs w:val="16"/>
        </w:rPr>
        <w:t>Please keep a copy of the completed registration for your GST records.  Confirmation will be sent by email.  This document will be a Tax Invoice, for GST purposes, when you make full payment.  ABN: 47085482533</w:t>
      </w:r>
      <w:r w:rsidRPr="0007500B">
        <w:rPr>
          <w:rFonts w:ascii="Calibri" w:hAnsi="Calibri" w:cs="Calibri"/>
          <w:color w:val="17365D"/>
          <w:sz w:val="16"/>
          <w:szCs w:val="16"/>
        </w:rPr>
        <w:tab/>
      </w:r>
      <w:r w:rsidRPr="0007500B">
        <w:rPr>
          <w:rFonts w:ascii="Calibri" w:hAnsi="Calibri" w:cs="Calibri"/>
          <w:color w:val="17365D"/>
          <w:sz w:val="16"/>
          <w:szCs w:val="16"/>
        </w:rPr>
        <w:tab/>
        <w:t>Organised by : Rosie Traill for Traill &amp; Associates Pty Ltd –</w:t>
      </w:r>
    </w:p>
    <w:p w14:paraId="13272D69" w14:textId="77777777" w:rsidR="00111988" w:rsidRPr="0007500B" w:rsidRDefault="00111988" w:rsidP="00111988">
      <w:pPr>
        <w:pBdr>
          <w:top w:val="nil"/>
          <w:left w:val="nil"/>
          <w:bottom w:val="nil"/>
          <w:right w:val="nil"/>
          <w:between w:val="nil"/>
        </w:pBdr>
        <w:spacing w:line="276" w:lineRule="auto"/>
        <w:rPr>
          <w:rFonts w:ascii="Calibri" w:hAnsi="Calibri" w:cs="Calibri"/>
          <w:color w:val="17365D"/>
          <w:sz w:val="16"/>
          <w:szCs w:val="16"/>
        </w:rPr>
      </w:pPr>
      <w:r w:rsidRPr="0007500B">
        <w:rPr>
          <w:rFonts w:ascii="Calibri" w:hAnsi="Calibri" w:cs="Calibri"/>
          <w:color w:val="17365D"/>
          <w:sz w:val="16"/>
          <w:szCs w:val="16"/>
        </w:rPr>
        <w:t>Insolvency, Bankruptcy, Turnaround &amp; Restruc</w:t>
      </w:r>
      <w:r>
        <w:rPr>
          <w:rFonts w:ascii="Calibri" w:hAnsi="Calibri" w:cs="Calibri"/>
          <w:color w:val="17365D"/>
          <w:sz w:val="16"/>
          <w:szCs w:val="16"/>
        </w:rPr>
        <w:t xml:space="preserve">turing Conference Specialists. </w:t>
      </w:r>
      <w:r w:rsidRPr="0007500B">
        <w:rPr>
          <w:rFonts w:ascii="Calibri" w:hAnsi="Calibri" w:cs="Calibri"/>
          <w:color w:val="17365D"/>
          <w:sz w:val="16"/>
          <w:szCs w:val="16"/>
          <w:u w:val="single"/>
        </w:rPr>
        <w:t>www.traillandasso</w:t>
      </w:r>
      <w:r w:rsidRPr="0007500B">
        <w:rPr>
          <w:rFonts w:ascii="Calibri" w:hAnsi="Calibri" w:cs="Calibri"/>
          <w:color w:val="17365D"/>
          <w:sz w:val="16"/>
          <w:szCs w:val="16"/>
          <w:u w:val="single"/>
        </w:rPr>
        <w:t>c</w:t>
      </w:r>
      <w:r>
        <w:rPr>
          <w:rFonts w:ascii="Calibri" w:hAnsi="Calibri" w:cs="Calibri"/>
          <w:color w:val="17365D"/>
          <w:sz w:val="16"/>
          <w:szCs w:val="16"/>
          <w:u w:val="single"/>
        </w:rPr>
        <w:t>iates.com</w:t>
      </w:r>
    </w:p>
    <w:p w14:paraId="6105E23E" w14:textId="733CFFCF" w:rsidR="00111988" w:rsidRPr="0007500B" w:rsidRDefault="004358D2" w:rsidP="004358D2">
      <w:pPr>
        <w:pBdr>
          <w:top w:val="nil"/>
          <w:left w:val="nil"/>
          <w:bottom w:val="nil"/>
          <w:right w:val="nil"/>
          <w:between w:val="nil"/>
        </w:pBdr>
        <w:jc w:val="center"/>
        <w:rPr>
          <w:rFonts w:ascii="Calibri" w:hAnsi="Calibri" w:cs="Calibri"/>
          <w:b/>
          <w:color w:val="002060"/>
        </w:rPr>
      </w:pPr>
      <w:r>
        <w:rPr>
          <w:rFonts w:ascii="Calibri" w:hAnsi="Calibri" w:cs="Calibri"/>
          <w:b/>
          <w:color w:val="002060"/>
        </w:rPr>
        <w:lastRenderedPageBreak/>
        <w:t>TERMS &amp; CONDITIONS</w:t>
      </w:r>
    </w:p>
    <w:p w14:paraId="39C56134" w14:textId="77777777" w:rsidR="00111988" w:rsidRPr="0007500B" w:rsidRDefault="00111988" w:rsidP="00111988">
      <w:pPr>
        <w:pBdr>
          <w:top w:val="nil"/>
          <w:left w:val="nil"/>
          <w:bottom w:val="nil"/>
          <w:right w:val="nil"/>
          <w:between w:val="nil"/>
        </w:pBdr>
        <w:ind w:left="3600"/>
        <w:rPr>
          <w:rFonts w:ascii="Calibri" w:hAnsi="Calibri" w:cs="Calibri"/>
          <w:b/>
          <w:color w:val="002060"/>
        </w:rPr>
      </w:pPr>
    </w:p>
    <w:p w14:paraId="642EEB52"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sz w:val="18"/>
          <w:szCs w:val="18"/>
        </w:rPr>
      </w:pPr>
      <w:r w:rsidRPr="0007500B">
        <w:rPr>
          <w:rFonts w:asciiTheme="majorHAnsi" w:eastAsia="Arial" w:hAnsiTheme="majorHAnsi" w:cs="Arial"/>
          <w:sz w:val="18"/>
          <w:szCs w:val="18"/>
        </w:rPr>
        <w:t>These terms and conditions are to be read in conjunction with Terms and Conditions disclosed at www.trailandassociates.com website.</w:t>
      </w:r>
    </w:p>
    <w:p w14:paraId="7706840C"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5004C9B4" w14:textId="77777777" w:rsidR="00111988" w:rsidRPr="0007500B" w:rsidRDefault="00111988" w:rsidP="00111988">
      <w:pPr>
        <w:pBdr>
          <w:top w:val="nil"/>
          <w:left w:val="nil"/>
          <w:bottom w:val="nil"/>
          <w:right w:val="nil"/>
          <w:between w:val="nil"/>
        </w:pBdr>
        <w:spacing w:line="276" w:lineRule="auto"/>
        <w:outlineLvl w:val="0"/>
        <w:rPr>
          <w:rFonts w:asciiTheme="majorHAnsi" w:eastAsia="Arial" w:hAnsiTheme="majorHAnsi" w:cs="Arial"/>
          <w:b/>
          <w:sz w:val="20"/>
          <w:szCs w:val="20"/>
        </w:rPr>
      </w:pPr>
      <w:r w:rsidRPr="0007500B">
        <w:rPr>
          <w:rFonts w:asciiTheme="majorHAnsi" w:eastAsia="Arial" w:hAnsiTheme="majorHAnsi" w:cs="Arial"/>
          <w:b/>
          <w:sz w:val="20"/>
          <w:szCs w:val="20"/>
        </w:rPr>
        <w:t>Team Discount</w:t>
      </w:r>
    </w:p>
    <w:p w14:paraId="62BAD648"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Register 6 attendees for the price of 5.  The nominated 6 registrations do not need to be at same venue and can be from different firms as long as there is a single, non-refundable payment received with the signed registration form. That means the discount is available to everyone, whether you have six staff or not, as long as you find someone to team up with.</w:t>
      </w:r>
    </w:p>
    <w:p w14:paraId="34BB6478"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140A210B" w14:textId="062EB093"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b/>
          <w:sz w:val="18"/>
          <w:szCs w:val="18"/>
        </w:rPr>
        <w:t xml:space="preserve">Registrations for the Bootcamp will only be TRANSFERABLE </w:t>
      </w:r>
      <w:r w:rsidRPr="0007500B">
        <w:rPr>
          <w:rFonts w:asciiTheme="majorHAnsi" w:eastAsia="Arial" w:hAnsiTheme="majorHAnsi" w:cs="Arial"/>
          <w:sz w:val="18"/>
          <w:szCs w:val="18"/>
        </w:rPr>
        <w:t>with a minimum of 48 hours prior to the event date and must be provided in writing to Traill &amp; Associates and confirmed by Traill &amp; Associates. Registrations are as per nominated individual name and cannot be shared across the event.</w:t>
      </w:r>
    </w:p>
    <w:p w14:paraId="63A2677B"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6868B445"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Privacy</w:t>
      </w:r>
    </w:p>
    <w:p w14:paraId="13D8AC10"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Your information is added to our delegate database to register you for this event and provide you with details of our upcoming conferences in your field. We may also from time to time share your name and organisation only with event sponsors and speakers so they know who is in their audience and can deliver accordingly (subject to strict conditions). From time to time, we may contact you about other related events. If you DO NOT wish to receive this information or have your details made available to sponsors please notify us using the contact information in the Contact Us tab / menu item on the website.   Please note personal and credit card information is not shared and used solely for payment and registration purposes - Traill &amp; Associates requests that all credit card information and registrations are forwarded in a secure manner.  Before you disclose to us the information of another person you must obtain that person’s consent.</w:t>
      </w:r>
    </w:p>
    <w:p w14:paraId="7A4D91FD"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0CE68F40"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Disclaimer</w:t>
      </w:r>
    </w:p>
    <w:p w14:paraId="041232F1"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Traill &amp; Associates reserves the right to change some elements of the program at any time in the event of unforeseen circumstances. Traill &amp; Associates accepts no liability for any loss or damage suffered by any person at any event organised by Traill &amp; Associates by reason of any act or omission on the part of any other person however that loss or damage is caused including but not limited to any negligence on the part of any other person. Information obtained at the event does not constitute legal advice and should not be relied upon as such.</w:t>
      </w:r>
    </w:p>
    <w:p w14:paraId="4938ECDD"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27E3C5A9"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Cancellation Policy</w:t>
      </w:r>
    </w:p>
    <w:p w14:paraId="6822A308"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To keep costs down and because I allow unrestricted transfer of registrations between venues and firms within 48 hours of event (conditional upon prior written notice as above) please note that I cannot accept cancellations and </w:t>
      </w:r>
      <w:r w:rsidRPr="0007500B">
        <w:rPr>
          <w:rFonts w:asciiTheme="majorHAnsi" w:eastAsia="Arial" w:hAnsiTheme="majorHAnsi" w:cs="Arial"/>
          <w:sz w:val="18"/>
          <w:szCs w:val="18"/>
          <w:u w:val="single"/>
        </w:rPr>
        <w:t>there will be no refunds</w:t>
      </w:r>
      <w:r w:rsidRPr="0007500B">
        <w:rPr>
          <w:rFonts w:asciiTheme="majorHAnsi" w:eastAsia="Arial" w:hAnsiTheme="majorHAnsi" w:cs="Arial"/>
          <w:sz w:val="18"/>
          <w:szCs w:val="18"/>
        </w:rPr>
        <w:t>.   In the event of unforeseen circumstances for any or all of the events (including minimum numbers not being met) the organiser has the right to cancel or reschedule any or all of the events and in this instance a full refund or transfer of the registration fee only (not any associated costs) will be provided.</w:t>
      </w:r>
    </w:p>
    <w:p w14:paraId="13D5646B"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7C7A0FAB"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Campaign Policy</w:t>
      </w:r>
    </w:p>
    <w:p w14:paraId="71B8192A"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Terms and conditions of this registration process: Once your completed Registration Form has been received by us, you are officially registered for the Bootcamp.  Cancellation policy as set out above will apply as do all other terms and conditions.</w:t>
      </w:r>
    </w:p>
    <w:p w14:paraId="3EAA5ED0"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p>
    <w:p w14:paraId="29042376"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CPD/CPE/CLE Points</w:t>
      </w:r>
    </w:p>
    <w:p w14:paraId="1ED12DCD"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Accountants, Solicitors and Barristers may earn up to 8.5 CPD, CPE or CLE points if they attend this Bootcamp. One point per actual hour of attendance. For Barristers in NSW (accreditation pending) one point per hour of attendance, to be allocated to strands according to the subject matter of sessions attended. Call Traill &amp; Associates for more details or contact your professional body to confirm adherence to their practice rules and guidelines.</w:t>
      </w:r>
    </w:p>
    <w:p w14:paraId="59D6D355"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2176571F" w14:textId="77777777" w:rsidR="00111988" w:rsidRPr="0007500B" w:rsidRDefault="00111988" w:rsidP="00111988">
      <w:pPr>
        <w:pBdr>
          <w:top w:val="nil"/>
          <w:left w:val="nil"/>
          <w:bottom w:val="nil"/>
          <w:right w:val="nil"/>
          <w:between w:val="nil"/>
        </w:pBdr>
        <w:outlineLvl w:val="0"/>
        <w:rPr>
          <w:rFonts w:asciiTheme="majorHAnsi" w:eastAsia="Arial" w:hAnsiTheme="majorHAnsi" w:cs="Arial"/>
          <w:b/>
          <w:sz w:val="20"/>
          <w:szCs w:val="20"/>
        </w:rPr>
      </w:pPr>
      <w:r w:rsidRPr="0007500B">
        <w:rPr>
          <w:rFonts w:asciiTheme="majorHAnsi" w:eastAsia="Arial" w:hAnsiTheme="majorHAnsi" w:cs="Arial"/>
          <w:b/>
          <w:sz w:val="20"/>
          <w:szCs w:val="20"/>
        </w:rPr>
        <w:t>Important Security Notice</w:t>
      </w:r>
    </w:p>
    <w:p w14:paraId="53F901AC"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We want to take good care of you, so for venue requirements, security and safety reasons, highly visible official name badges must be worn at all times by all delegates.</w:t>
      </w:r>
    </w:p>
    <w:p w14:paraId="12C21348" w14:textId="77777777" w:rsidR="00111988" w:rsidRPr="0007500B" w:rsidRDefault="00111988" w:rsidP="00111988">
      <w:pPr>
        <w:pBdr>
          <w:top w:val="nil"/>
          <w:left w:val="nil"/>
          <w:bottom w:val="nil"/>
          <w:right w:val="nil"/>
          <w:between w:val="nil"/>
        </w:pBdr>
        <w:rPr>
          <w:rFonts w:asciiTheme="majorHAnsi" w:eastAsia="Arial" w:hAnsiTheme="majorHAnsi" w:cs="Arial"/>
          <w:b/>
          <w:sz w:val="18"/>
          <w:szCs w:val="18"/>
        </w:rPr>
      </w:pPr>
    </w:p>
    <w:p w14:paraId="3A6A64EF"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r w:rsidRPr="0007500B">
        <w:rPr>
          <w:rFonts w:asciiTheme="majorHAnsi" w:eastAsia="Arial" w:hAnsiTheme="majorHAnsi" w:cs="Arial"/>
          <w:sz w:val="18"/>
          <w:szCs w:val="18"/>
        </w:rPr>
        <w:t>If you have any queries or special requests, comments or suggestions, or any special dietary requirements please contact:</w:t>
      </w:r>
    </w:p>
    <w:p w14:paraId="1EAEEC02"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rPr>
      </w:pPr>
    </w:p>
    <w:p w14:paraId="37A0D1A2" w14:textId="77777777" w:rsidR="00111988" w:rsidRPr="004358D2" w:rsidRDefault="00111988" w:rsidP="00111988">
      <w:pPr>
        <w:pBdr>
          <w:top w:val="nil"/>
          <w:left w:val="nil"/>
          <w:bottom w:val="nil"/>
          <w:right w:val="nil"/>
          <w:between w:val="nil"/>
        </w:pBdr>
        <w:rPr>
          <w:rFonts w:asciiTheme="majorHAnsi" w:eastAsia="Arial" w:hAnsiTheme="majorHAnsi" w:cs="Arial"/>
          <w:b/>
          <w:lang w:val="fr-FR"/>
        </w:rPr>
      </w:pPr>
      <w:r w:rsidRPr="004358D2">
        <w:rPr>
          <w:rFonts w:asciiTheme="majorHAnsi" w:eastAsia="Arial" w:hAnsiTheme="majorHAnsi" w:cs="Arial"/>
          <w:b/>
          <w:lang w:val="fr-FR"/>
        </w:rPr>
        <w:t xml:space="preserve">Rosie Traill </w:t>
      </w:r>
    </w:p>
    <w:p w14:paraId="2F970394" w14:textId="77777777" w:rsidR="00111988" w:rsidRPr="004358D2" w:rsidRDefault="00111988" w:rsidP="00111988">
      <w:pPr>
        <w:pBdr>
          <w:top w:val="nil"/>
          <w:left w:val="nil"/>
          <w:bottom w:val="nil"/>
          <w:right w:val="nil"/>
          <w:between w:val="nil"/>
        </w:pBdr>
        <w:rPr>
          <w:rFonts w:asciiTheme="majorHAnsi" w:eastAsia="Arial" w:hAnsiTheme="majorHAnsi" w:cs="Arial"/>
          <w:lang w:val="fr-FR"/>
        </w:rPr>
      </w:pPr>
      <w:r w:rsidRPr="004358D2">
        <w:rPr>
          <w:rFonts w:asciiTheme="majorHAnsi" w:eastAsia="Arial" w:hAnsiTheme="majorHAnsi" w:cs="Arial"/>
          <w:lang w:val="fr-FR"/>
        </w:rPr>
        <w:t xml:space="preserve">Mobile: </w:t>
      </w:r>
      <w:r w:rsidRPr="004358D2">
        <w:rPr>
          <w:rFonts w:asciiTheme="majorHAnsi" w:eastAsia="Arial" w:hAnsiTheme="majorHAnsi" w:cs="Arial"/>
          <w:lang w:val="fr-FR"/>
        </w:rPr>
        <w:tab/>
        <w:t xml:space="preserve"> 0405 136 001</w:t>
      </w:r>
      <w:r w:rsidRPr="004358D2">
        <w:rPr>
          <w:rFonts w:asciiTheme="majorHAnsi" w:eastAsia="Arial" w:hAnsiTheme="majorHAnsi" w:cs="Arial"/>
          <w:lang w:val="fr-FR"/>
        </w:rPr>
        <w:tab/>
      </w:r>
      <w:r w:rsidRPr="004358D2">
        <w:rPr>
          <w:rFonts w:asciiTheme="majorHAnsi" w:eastAsia="Arial" w:hAnsiTheme="majorHAnsi" w:cs="Arial"/>
          <w:lang w:val="fr-FR"/>
        </w:rPr>
        <w:tab/>
        <w:t>Email:</w:t>
      </w:r>
      <w:r w:rsidRPr="004358D2">
        <w:rPr>
          <w:rFonts w:asciiTheme="majorHAnsi" w:eastAsia="Arial" w:hAnsiTheme="majorHAnsi" w:cs="Arial"/>
          <w:lang w:val="fr-FR"/>
        </w:rPr>
        <w:tab/>
        <w:t>rtraill@traillassociates.com.au</w:t>
      </w:r>
    </w:p>
    <w:p w14:paraId="4F71026E" w14:textId="77777777" w:rsidR="00111988" w:rsidRPr="0007500B" w:rsidRDefault="00111988" w:rsidP="00111988">
      <w:pPr>
        <w:pBdr>
          <w:top w:val="nil"/>
          <w:left w:val="nil"/>
          <w:bottom w:val="nil"/>
          <w:right w:val="nil"/>
          <w:between w:val="nil"/>
        </w:pBdr>
        <w:rPr>
          <w:rFonts w:asciiTheme="majorHAnsi" w:eastAsia="Arial" w:hAnsiTheme="majorHAnsi" w:cs="Arial"/>
          <w:sz w:val="18"/>
          <w:szCs w:val="18"/>
          <w:lang w:val="fr-FR"/>
        </w:rPr>
      </w:pPr>
    </w:p>
    <w:p w14:paraId="13D66D2B" w14:textId="77777777" w:rsidR="004358D2" w:rsidRDefault="004358D2" w:rsidP="00111988">
      <w:pPr>
        <w:pBdr>
          <w:top w:val="nil"/>
          <w:left w:val="nil"/>
          <w:bottom w:val="nil"/>
          <w:right w:val="nil"/>
          <w:between w:val="nil"/>
        </w:pBdr>
        <w:outlineLvl w:val="0"/>
        <w:rPr>
          <w:rFonts w:asciiTheme="majorHAnsi" w:eastAsia="Arial" w:hAnsiTheme="majorHAnsi" w:cs="Arial"/>
          <w:b/>
          <w:sz w:val="22"/>
          <w:szCs w:val="22"/>
        </w:rPr>
      </w:pPr>
    </w:p>
    <w:p w14:paraId="3D77229C" w14:textId="77777777" w:rsidR="00111988" w:rsidRPr="004358D2" w:rsidRDefault="00111988" w:rsidP="00111988">
      <w:pPr>
        <w:pBdr>
          <w:top w:val="nil"/>
          <w:left w:val="nil"/>
          <w:bottom w:val="nil"/>
          <w:right w:val="nil"/>
          <w:between w:val="nil"/>
        </w:pBdr>
        <w:outlineLvl w:val="0"/>
        <w:rPr>
          <w:rFonts w:asciiTheme="majorHAnsi" w:eastAsia="Arial" w:hAnsiTheme="majorHAnsi" w:cs="Arial"/>
          <w:b/>
          <w:sz w:val="22"/>
          <w:szCs w:val="22"/>
        </w:rPr>
      </w:pPr>
      <w:r w:rsidRPr="004358D2">
        <w:rPr>
          <w:rFonts w:asciiTheme="majorHAnsi" w:eastAsia="Arial" w:hAnsiTheme="majorHAnsi" w:cs="Arial"/>
          <w:b/>
          <w:sz w:val="22"/>
          <w:szCs w:val="22"/>
        </w:rPr>
        <w:t>TRAILL &amp; ASSOCIATES PTY LIMITED</w:t>
      </w:r>
    </w:p>
    <w:p w14:paraId="1E777CB0" w14:textId="77777777" w:rsidR="00111988" w:rsidRPr="004358D2" w:rsidRDefault="00111988" w:rsidP="00111988">
      <w:pPr>
        <w:pBdr>
          <w:top w:val="nil"/>
          <w:left w:val="nil"/>
          <w:bottom w:val="nil"/>
          <w:right w:val="nil"/>
          <w:between w:val="nil"/>
        </w:pBdr>
        <w:spacing w:line="276" w:lineRule="auto"/>
        <w:rPr>
          <w:rFonts w:asciiTheme="majorHAnsi" w:hAnsiTheme="majorHAnsi" w:cs="Calibri"/>
          <w:sz w:val="22"/>
          <w:szCs w:val="22"/>
        </w:rPr>
      </w:pPr>
      <w:r w:rsidRPr="004358D2">
        <w:rPr>
          <w:rFonts w:ascii="Calibri" w:hAnsi="Calibri" w:cs="Calibri"/>
          <w:noProof/>
          <w:color w:val="000000"/>
          <w:sz w:val="22"/>
          <w:szCs w:val="22"/>
        </w:rPr>
        <w:drawing>
          <wp:anchor distT="0" distB="0" distL="114300" distR="114300" simplePos="0" relativeHeight="251696128" behindDoc="0" locked="0" layoutInCell="1" hidden="0" allowOverlap="1" wp14:anchorId="6D316BC3" wp14:editId="1C000337">
            <wp:simplePos x="0" y="0"/>
            <wp:positionH relativeFrom="margin">
              <wp:posOffset>5273675</wp:posOffset>
            </wp:positionH>
            <wp:positionV relativeFrom="paragraph">
              <wp:posOffset>3810</wp:posOffset>
            </wp:positionV>
            <wp:extent cx="1473835" cy="381635"/>
            <wp:effectExtent l="0" t="0" r="0" b="0"/>
            <wp:wrapSquare wrapText="bothSides" distT="0" distB="0" distL="114300" distR="114300"/>
            <wp:docPr id="12" name="image3.jpg" descr="D:\Sue\Work Stuff\Traill Assoc\New Traill Logo.jpg"/>
            <wp:cNvGraphicFramePr/>
            <a:graphic xmlns:a="http://schemas.openxmlformats.org/drawingml/2006/main">
              <a:graphicData uri="http://schemas.openxmlformats.org/drawingml/2006/picture">
                <pic:pic xmlns:pic="http://schemas.openxmlformats.org/drawingml/2006/picture">
                  <pic:nvPicPr>
                    <pic:cNvPr id="0" name="image3.jpg" descr="D:\Sue\Work Stuff\Traill Assoc\New Traill Logo.jpg"/>
                    <pic:cNvPicPr preferRelativeResize="0"/>
                  </pic:nvPicPr>
                  <pic:blipFill>
                    <a:blip r:embed="rId6"/>
                    <a:srcRect/>
                    <a:stretch>
                      <a:fillRect/>
                    </a:stretch>
                  </pic:blipFill>
                  <pic:spPr>
                    <a:xfrm>
                      <a:off x="0" y="0"/>
                      <a:ext cx="1473835" cy="381635"/>
                    </a:xfrm>
                    <a:prstGeom prst="rect">
                      <a:avLst/>
                    </a:prstGeom>
                    <a:ln/>
                  </pic:spPr>
                </pic:pic>
              </a:graphicData>
            </a:graphic>
            <wp14:sizeRelH relativeFrom="margin">
              <wp14:pctWidth>0</wp14:pctWidth>
            </wp14:sizeRelH>
            <wp14:sizeRelV relativeFrom="margin">
              <wp14:pctHeight>0</wp14:pctHeight>
            </wp14:sizeRelV>
          </wp:anchor>
        </w:drawing>
      </w:r>
      <w:r w:rsidRPr="004358D2">
        <w:rPr>
          <w:rFonts w:asciiTheme="majorHAnsi" w:hAnsiTheme="majorHAnsi" w:cs="Calibri"/>
          <w:sz w:val="22"/>
          <w:szCs w:val="22"/>
        </w:rPr>
        <w:t>Insolvency, Bankruptcy, Turnaround &amp; Restructuring Conference Specialists.</w:t>
      </w:r>
    </w:p>
    <w:p w14:paraId="68F72063" w14:textId="77777777" w:rsidR="00111988" w:rsidRPr="004358D2" w:rsidRDefault="00111988" w:rsidP="00111988">
      <w:pPr>
        <w:pBdr>
          <w:top w:val="nil"/>
          <w:left w:val="nil"/>
          <w:bottom w:val="nil"/>
          <w:right w:val="nil"/>
          <w:between w:val="nil"/>
        </w:pBdr>
        <w:spacing w:line="276" w:lineRule="auto"/>
        <w:outlineLvl w:val="0"/>
        <w:rPr>
          <w:rFonts w:asciiTheme="majorHAnsi" w:hAnsiTheme="majorHAnsi" w:cs="Calibri"/>
          <w:sz w:val="22"/>
          <w:szCs w:val="22"/>
        </w:rPr>
      </w:pPr>
      <w:r w:rsidRPr="004358D2">
        <w:rPr>
          <w:rFonts w:asciiTheme="majorHAnsi" w:hAnsiTheme="majorHAnsi" w:cs="Calibri"/>
          <w:sz w:val="22"/>
          <w:szCs w:val="22"/>
        </w:rPr>
        <w:t>ABN: 47085482533</w:t>
      </w:r>
      <w:r w:rsidRPr="004358D2">
        <w:rPr>
          <w:rFonts w:asciiTheme="majorHAnsi" w:hAnsiTheme="majorHAnsi" w:cs="Calibri"/>
          <w:sz w:val="22"/>
          <w:szCs w:val="22"/>
        </w:rPr>
        <w:tab/>
      </w:r>
    </w:p>
    <w:p w14:paraId="6BA2557F" w14:textId="77777777" w:rsidR="00111988" w:rsidRPr="004358D2" w:rsidRDefault="00111988" w:rsidP="00111988">
      <w:pPr>
        <w:pBdr>
          <w:top w:val="nil"/>
          <w:left w:val="nil"/>
          <w:bottom w:val="nil"/>
          <w:right w:val="nil"/>
          <w:between w:val="nil"/>
        </w:pBdr>
        <w:spacing w:line="276" w:lineRule="auto"/>
        <w:outlineLvl w:val="0"/>
        <w:rPr>
          <w:rFonts w:asciiTheme="majorHAnsi" w:hAnsiTheme="majorHAnsi" w:cs="Calibri"/>
          <w:sz w:val="22"/>
          <w:szCs w:val="22"/>
        </w:rPr>
      </w:pPr>
      <w:r w:rsidRPr="004358D2">
        <w:rPr>
          <w:rFonts w:asciiTheme="majorHAnsi" w:hAnsiTheme="majorHAnsi" w:cs="Calibri"/>
          <w:sz w:val="22"/>
          <w:szCs w:val="22"/>
        </w:rPr>
        <w:t xml:space="preserve">www.traillandassociates.com </w:t>
      </w:r>
      <w:r w:rsidRPr="004358D2">
        <w:rPr>
          <w:rFonts w:asciiTheme="majorHAnsi" w:hAnsiTheme="majorHAnsi" w:cs="Calibri"/>
          <w:sz w:val="22"/>
          <w:szCs w:val="22"/>
        </w:rPr>
        <w:tab/>
      </w:r>
      <w:r w:rsidRPr="004358D2">
        <w:rPr>
          <w:rFonts w:asciiTheme="majorHAnsi" w:hAnsiTheme="majorHAnsi" w:cs="Calibri"/>
          <w:sz w:val="22"/>
          <w:szCs w:val="22"/>
        </w:rPr>
        <w:tab/>
        <w:t xml:space="preserve">Suite 1A, Level 2, 802 Pacific Highway, Gordon, NSW </w:t>
      </w:r>
    </w:p>
    <w:p w14:paraId="710A23B6" w14:textId="77777777" w:rsidR="004358D2" w:rsidRDefault="004358D2" w:rsidP="00111988">
      <w:pPr>
        <w:pBdr>
          <w:top w:val="nil"/>
          <w:left w:val="nil"/>
          <w:bottom w:val="nil"/>
          <w:right w:val="nil"/>
          <w:between w:val="nil"/>
        </w:pBdr>
        <w:spacing w:line="276" w:lineRule="auto"/>
        <w:outlineLvl w:val="0"/>
        <w:rPr>
          <w:rFonts w:asciiTheme="majorHAnsi" w:eastAsia="Arial" w:hAnsiTheme="majorHAnsi" w:cs="Arial"/>
          <w:sz w:val="20"/>
          <w:szCs w:val="20"/>
        </w:rPr>
      </w:pPr>
    </w:p>
    <w:p w14:paraId="4AC5FD29" w14:textId="77777777" w:rsidR="004358D2" w:rsidRDefault="004358D2" w:rsidP="00111988">
      <w:pPr>
        <w:pBdr>
          <w:top w:val="nil"/>
          <w:left w:val="nil"/>
          <w:bottom w:val="nil"/>
          <w:right w:val="nil"/>
          <w:between w:val="nil"/>
        </w:pBdr>
        <w:spacing w:line="276" w:lineRule="auto"/>
        <w:outlineLvl w:val="0"/>
        <w:rPr>
          <w:rFonts w:asciiTheme="majorHAnsi" w:eastAsia="Arial" w:hAnsiTheme="majorHAnsi" w:cs="Arial"/>
          <w:sz w:val="20"/>
          <w:szCs w:val="20"/>
        </w:rPr>
      </w:pPr>
    </w:p>
    <w:p w14:paraId="288DFB24" w14:textId="77777777" w:rsidR="004358D2" w:rsidRDefault="004358D2" w:rsidP="00111988">
      <w:pPr>
        <w:pBdr>
          <w:top w:val="nil"/>
          <w:left w:val="nil"/>
          <w:bottom w:val="nil"/>
          <w:right w:val="nil"/>
          <w:between w:val="nil"/>
        </w:pBdr>
        <w:spacing w:line="276" w:lineRule="auto"/>
        <w:outlineLvl w:val="0"/>
        <w:rPr>
          <w:rFonts w:asciiTheme="majorHAnsi" w:eastAsia="Arial" w:hAnsiTheme="majorHAnsi" w:cs="Arial"/>
          <w:sz w:val="20"/>
          <w:szCs w:val="20"/>
        </w:rPr>
      </w:pPr>
    </w:p>
    <w:p w14:paraId="69E86779" w14:textId="77777777" w:rsidR="004358D2" w:rsidRDefault="004358D2" w:rsidP="00111988">
      <w:pPr>
        <w:pBdr>
          <w:top w:val="nil"/>
          <w:left w:val="nil"/>
          <w:bottom w:val="nil"/>
          <w:right w:val="nil"/>
          <w:between w:val="nil"/>
        </w:pBdr>
        <w:spacing w:line="276" w:lineRule="auto"/>
        <w:outlineLvl w:val="0"/>
        <w:rPr>
          <w:rFonts w:asciiTheme="majorHAnsi" w:eastAsia="Arial" w:hAnsiTheme="majorHAnsi" w:cs="Arial"/>
          <w:sz w:val="20"/>
          <w:szCs w:val="20"/>
        </w:rPr>
      </w:pPr>
    </w:p>
    <w:p w14:paraId="5A48386F" w14:textId="3E9EE6D4" w:rsidR="00111988" w:rsidRPr="004358D2" w:rsidRDefault="00111988" w:rsidP="00111988">
      <w:pPr>
        <w:pBdr>
          <w:top w:val="nil"/>
          <w:left w:val="nil"/>
          <w:bottom w:val="nil"/>
          <w:right w:val="nil"/>
          <w:between w:val="nil"/>
        </w:pBdr>
        <w:spacing w:line="276" w:lineRule="auto"/>
        <w:outlineLvl w:val="0"/>
        <w:rPr>
          <w:rFonts w:asciiTheme="majorHAnsi" w:eastAsia="Arial" w:hAnsiTheme="majorHAnsi" w:cs="Arial"/>
          <w:sz w:val="20"/>
          <w:szCs w:val="20"/>
        </w:rPr>
      </w:pPr>
      <w:r w:rsidRPr="004358D2">
        <w:rPr>
          <w:rFonts w:asciiTheme="majorHAnsi" w:eastAsia="Arial" w:hAnsiTheme="majorHAnsi" w:cs="Arial"/>
          <w:sz w:val="20"/>
          <w:szCs w:val="20"/>
        </w:rPr>
        <w:t>The contents of this Bootcamp program are t</w:t>
      </w:r>
      <w:r w:rsidR="004358D2" w:rsidRPr="004358D2">
        <w:rPr>
          <w:rFonts w:asciiTheme="majorHAnsi" w:eastAsia="Arial" w:hAnsiTheme="majorHAnsi" w:cs="Arial"/>
          <w:sz w:val="20"/>
          <w:szCs w:val="20"/>
        </w:rPr>
        <w:t xml:space="preserve">he copyright of Traill &amp; Associates </w:t>
      </w:r>
      <w:r w:rsidR="004358D2" w:rsidRPr="004358D2">
        <w:rPr>
          <w:rFonts w:asciiTheme="majorHAnsi" w:eastAsia="Arial" w:hAnsiTheme="majorHAnsi" w:cs="Arial"/>
          <w:sz w:val="20"/>
          <w:szCs w:val="20"/>
        </w:rPr>
        <w:sym w:font="Symbol" w:char="F0D3"/>
      </w:r>
      <w:r w:rsidR="004358D2" w:rsidRPr="004358D2">
        <w:rPr>
          <w:rFonts w:asciiTheme="majorHAnsi" w:eastAsia="Arial" w:hAnsiTheme="majorHAnsi" w:cs="Arial"/>
          <w:sz w:val="20"/>
          <w:szCs w:val="20"/>
        </w:rPr>
        <w:t>2019</w:t>
      </w:r>
    </w:p>
    <w:p w14:paraId="382DBE67" w14:textId="77777777" w:rsidR="004358D2" w:rsidRPr="0007500B" w:rsidRDefault="004358D2" w:rsidP="00111988">
      <w:pPr>
        <w:pBdr>
          <w:top w:val="nil"/>
          <w:left w:val="nil"/>
          <w:bottom w:val="nil"/>
          <w:right w:val="nil"/>
          <w:between w:val="nil"/>
        </w:pBdr>
        <w:spacing w:line="276" w:lineRule="auto"/>
        <w:outlineLvl w:val="0"/>
        <w:rPr>
          <w:rFonts w:asciiTheme="majorHAnsi" w:eastAsia="Arial" w:hAnsiTheme="majorHAnsi" w:cs="Arial"/>
          <w:sz w:val="18"/>
          <w:szCs w:val="18"/>
        </w:rPr>
      </w:pPr>
    </w:p>
    <w:sectPr w:rsidR="004358D2" w:rsidRPr="0007500B" w:rsidSect="003B12F3">
      <w:type w:val="continuous"/>
      <w:pgSz w:w="11906" w:h="16838"/>
      <w:pgMar w:top="567" w:right="567"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984"/>
    <w:multiLevelType w:val="multilevel"/>
    <w:tmpl w:val="AB48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B1EBB"/>
    <w:multiLevelType w:val="multilevel"/>
    <w:tmpl w:val="26D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56736"/>
    <w:multiLevelType w:val="multilevel"/>
    <w:tmpl w:val="B6C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530261"/>
    <w:multiLevelType w:val="multilevel"/>
    <w:tmpl w:val="CEA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B03C2"/>
    <w:multiLevelType w:val="multilevel"/>
    <w:tmpl w:val="97145F9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3833379B"/>
    <w:multiLevelType w:val="multilevel"/>
    <w:tmpl w:val="0868E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AEE7204"/>
    <w:multiLevelType w:val="multilevel"/>
    <w:tmpl w:val="8BA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C1693"/>
    <w:multiLevelType w:val="hybridMultilevel"/>
    <w:tmpl w:val="851C0A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8CD27CE"/>
    <w:multiLevelType w:val="multilevel"/>
    <w:tmpl w:val="8E32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F3755"/>
    <w:multiLevelType w:val="multilevel"/>
    <w:tmpl w:val="FB384F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59A549CB"/>
    <w:multiLevelType w:val="multilevel"/>
    <w:tmpl w:val="6D7ED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4168D"/>
    <w:multiLevelType w:val="multilevel"/>
    <w:tmpl w:val="887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32E8B"/>
    <w:multiLevelType w:val="multilevel"/>
    <w:tmpl w:val="9258A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7B6C2461"/>
    <w:multiLevelType w:val="multilevel"/>
    <w:tmpl w:val="CCC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5"/>
  </w:num>
  <w:num w:numId="5">
    <w:abstractNumId w:val="2"/>
  </w:num>
  <w:num w:numId="6">
    <w:abstractNumId w:val="13"/>
  </w:num>
  <w:num w:numId="7">
    <w:abstractNumId w:val="3"/>
  </w:num>
  <w:num w:numId="8">
    <w:abstractNumId w:val="10"/>
  </w:num>
  <w:num w:numId="9">
    <w:abstractNumId w:val="1"/>
  </w:num>
  <w:num w:numId="10">
    <w:abstractNumId w:val="8"/>
  </w:num>
  <w:num w:numId="11">
    <w:abstractNumId w:val="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4"/>
  </w:compat>
  <w:rsids>
    <w:rsidRoot w:val="00C534D8"/>
    <w:rsid w:val="00000971"/>
    <w:rsid w:val="0003727C"/>
    <w:rsid w:val="00066AE7"/>
    <w:rsid w:val="0007409B"/>
    <w:rsid w:val="0007500B"/>
    <w:rsid w:val="0008231D"/>
    <w:rsid w:val="0009602B"/>
    <w:rsid w:val="000B6AEE"/>
    <w:rsid w:val="001106F3"/>
    <w:rsid w:val="001109E3"/>
    <w:rsid w:val="00111988"/>
    <w:rsid w:val="0011738D"/>
    <w:rsid w:val="0012088C"/>
    <w:rsid w:val="00124223"/>
    <w:rsid w:val="001379ED"/>
    <w:rsid w:val="00171F74"/>
    <w:rsid w:val="0018768D"/>
    <w:rsid w:val="001E73ED"/>
    <w:rsid w:val="00223881"/>
    <w:rsid w:val="0025435D"/>
    <w:rsid w:val="002728A1"/>
    <w:rsid w:val="00280F15"/>
    <w:rsid w:val="0028521A"/>
    <w:rsid w:val="00340CED"/>
    <w:rsid w:val="00394141"/>
    <w:rsid w:val="003B12F3"/>
    <w:rsid w:val="003B2ED2"/>
    <w:rsid w:val="004045A9"/>
    <w:rsid w:val="004358D2"/>
    <w:rsid w:val="00445E5B"/>
    <w:rsid w:val="004732CC"/>
    <w:rsid w:val="00487CC5"/>
    <w:rsid w:val="00492476"/>
    <w:rsid w:val="004A46E8"/>
    <w:rsid w:val="004A4D4E"/>
    <w:rsid w:val="005315CB"/>
    <w:rsid w:val="0055139D"/>
    <w:rsid w:val="00573C0E"/>
    <w:rsid w:val="0057620C"/>
    <w:rsid w:val="005B0520"/>
    <w:rsid w:val="005C19DF"/>
    <w:rsid w:val="00603312"/>
    <w:rsid w:val="0060483F"/>
    <w:rsid w:val="006266CD"/>
    <w:rsid w:val="0063403E"/>
    <w:rsid w:val="006952EA"/>
    <w:rsid w:val="00697EF5"/>
    <w:rsid w:val="006C03B6"/>
    <w:rsid w:val="006F241C"/>
    <w:rsid w:val="007118F5"/>
    <w:rsid w:val="00716DAC"/>
    <w:rsid w:val="007C6A8B"/>
    <w:rsid w:val="007F4AF6"/>
    <w:rsid w:val="00852B2A"/>
    <w:rsid w:val="00855104"/>
    <w:rsid w:val="00894BEC"/>
    <w:rsid w:val="0089519F"/>
    <w:rsid w:val="008B57EA"/>
    <w:rsid w:val="008D40A5"/>
    <w:rsid w:val="008E6CC9"/>
    <w:rsid w:val="008F3F95"/>
    <w:rsid w:val="009011A9"/>
    <w:rsid w:val="00961D88"/>
    <w:rsid w:val="00965391"/>
    <w:rsid w:val="009C67FD"/>
    <w:rsid w:val="009F63E7"/>
    <w:rsid w:val="00A07F0D"/>
    <w:rsid w:val="00A75D79"/>
    <w:rsid w:val="00AA3279"/>
    <w:rsid w:val="00AB68E8"/>
    <w:rsid w:val="00AC5C7D"/>
    <w:rsid w:val="00AC7804"/>
    <w:rsid w:val="00AD6704"/>
    <w:rsid w:val="00AF3AAC"/>
    <w:rsid w:val="00B12278"/>
    <w:rsid w:val="00B12792"/>
    <w:rsid w:val="00B82EDF"/>
    <w:rsid w:val="00B94DCF"/>
    <w:rsid w:val="00BC5C2B"/>
    <w:rsid w:val="00BF5D01"/>
    <w:rsid w:val="00C05DE4"/>
    <w:rsid w:val="00C13CF5"/>
    <w:rsid w:val="00C427BD"/>
    <w:rsid w:val="00C51BCE"/>
    <w:rsid w:val="00C532E4"/>
    <w:rsid w:val="00C534D8"/>
    <w:rsid w:val="00C76065"/>
    <w:rsid w:val="00CA161A"/>
    <w:rsid w:val="00D42A17"/>
    <w:rsid w:val="00D56627"/>
    <w:rsid w:val="00D815CC"/>
    <w:rsid w:val="00D917AF"/>
    <w:rsid w:val="00D970E1"/>
    <w:rsid w:val="00E420E2"/>
    <w:rsid w:val="00E45DE8"/>
    <w:rsid w:val="00F1541E"/>
    <w:rsid w:val="00F37C8A"/>
    <w:rsid w:val="00FC788F"/>
    <w:rsid w:val="00FD4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F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988"/>
    <w:pPr>
      <w:spacing w:after="0" w:line="240" w:lineRule="auto"/>
    </w:pPr>
    <w:rPr>
      <w:rFonts w:ascii="Times New Roman" w:hAnsi="Times New Roman" w:cs="Times New Roman"/>
      <w:sz w:val="24"/>
      <w:szCs w:val="24"/>
    </w:rPr>
  </w:style>
  <w:style w:type="paragraph" w:styleId="Heading1">
    <w:name w:val="heading 1"/>
    <w:basedOn w:val="Normal"/>
    <w:next w:val="Normal"/>
    <w:pPr>
      <w:spacing w:before="100" w:after="100"/>
      <w:outlineLvl w:val="0"/>
    </w:pPr>
    <w:rPr>
      <w:rFonts w:eastAsia="Times New Roman"/>
      <w:b/>
      <w:sz w:val="48"/>
      <w:szCs w:val="48"/>
    </w:rPr>
  </w:style>
  <w:style w:type="paragraph" w:styleId="Heading2">
    <w:name w:val="heading 2"/>
    <w:basedOn w:val="Normal"/>
    <w:next w:val="Normal"/>
    <w:pPr>
      <w:spacing w:before="100" w:after="100"/>
      <w:outlineLvl w:val="1"/>
    </w:pPr>
    <w:rPr>
      <w:rFonts w:eastAsia="Times New Roman"/>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100" w:after="100"/>
      <w:outlineLvl w:val="5"/>
    </w:pPr>
    <w:rPr>
      <w:rFonts w:eastAsia="Times New Roman"/>
      <w:b/>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EF5"/>
    <w:rPr>
      <w:sz w:val="18"/>
      <w:szCs w:val="18"/>
    </w:rPr>
  </w:style>
  <w:style w:type="character" w:customStyle="1" w:styleId="BalloonTextChar">
    <w:name w:val="Balloon Text Char"/>
    <w:basedOn w:val="DefaultParagraphFont"/>
    <w:link w:val="BalloonText"/>
    <w:uiPriority w:val="99"/>
    <w:semiHidden/>
    <w:rsid w:val="00697EF5"/>
    <w:rPr>
      <w:rFonts w:ascii="Times New Roman" w:hAnsi="Times New Roman" w:cs="Times New Roman"/>
      <w:sz w:val="18"/>
      <w:szCs w:val="18"/>
    </w:rPr>
  </w:style>
  <w:style w:type="paragraph" w:styleId="NormalWeb">
    <w:name w:val="Normal (Web)"/>
    <w:basedOn w:val="Normal"/>
    <w:uiPriority w:val="99"/>
    <w:unhideWhenUsed/>
    <w:rsid w:val="00B82EDF"/>
    <w:pPr>
      <w:spacing w:before="100" w:beforeAutospacing="1" w:after="100" w:afterAutospacing="1"/>
    </w:pPr>
  </w:style>
  <w:style w:type="character" w:styleId="Hyperlink">
    <w:name w:val="Hyperlink"/>
    <w:basedOn w:val="DefaultParagraphFont"/>
    <w:uiPriority w:val="99"/>
    <w:unhideWhenUsed/>
    <w:rsid w:val="00D970E1"/>
    <w:rPr>
      <w:color w:val="0000FF" w:themeColor="hyperlink"/>
      <w:u w:val="single"/>
    </w:rPr>
  </w:style>
  <w:style w:type="character" w:styleId="Emphasis">
    <w:name w:val="Emphasis"/>
    <w:basedOn w:val="DefaultParagraphFont"/>
    <w:uiPriority w:val="20"/>
    <w:qFormat/>
    <w:rsid w:val="00F37C8A"/>
    <w:rPr>
      <w:i/>
      <w:iCs/>
    </w:rPr>
  </w:style>
  <w:style w:type="paragraph" w:customStyle="1" w:styleId="m-2807480469449570673msolistparagraph">
    <w:name w:val="m_-2807480469449570673msolistparagraph"/>
    <w:basedOn w:val="Normal"/>
    <w:rsid w:val="00E420E2"/>
    <w:pPr>
      <w:spacing w:before="100" w:beforeAutospacing="1" w:after="100" w:afterAutospacing="1"/>
    </w:pPr>
  </w:style>
  <w:style w:type="character" w:customStyle="1" w:styleId="Heading3Char">
    <w:name w:val="Heading 3 Char"/>
    <w:basedOn w:val="DefaultParagraphFont"/>
    <w:link w:val="Heading3"/>
    <w:uiPriority w:val="9"/>
    <w:rsid w:val="00FC788F"/>
    <w:rPr>
      <w:rFonts w:ascii="Times New Roman" w:hAnsi="Times New Roman" w:cs="Times New Roman"/>
      <w:b/>
      <w:sz w:val="28"/>
      <w:szCs w:val="28"/>
    </w:rPr>
  </w:style>
  <w:style w:type="paragraph" w:customStyle="1" w:styleId="teasertext">
    <w:name w:val="teaser_text"/>
    <w:basedOn w:val="Normal"/>
    <w:rsid w:val="00FC788F"/>
    <w:pPr>
      <w:spacing w:before="100" w:beforeAutospacing="1" w:after="100" w:afterAutospacing="1"/>
    </w:pPr>
  </w:style>
  <w:style w:type="paragraph" w:styleId="Date">
    <w:name w:val="Date"/>
    <w:aliases w:val="date"/>
    <w:basedOn w:val="Normal"/>
    <w:link w:val="DateChar"/>
    <w:uiPriority w:val="99"/>
    <w:semiHidden/>
    <w:unhideWhenUsed/>
    <w:rsid w:val="00FC788F"/>
    <w:pPr>
      <w:spacing w:before="100" w:beforeAutospacing="1" w:after="100" w:afterAutospacing="1"/>
    </w:pPr>
  </w:style>
  <w:style w:type="character" w:customStyle="1" w:styleId="DateChar">
    <w:name w:val="Date Char"/>
    <w:aliases w:val="date Char"/>
    <w:basedOn w:val="DefaultParagraphFont"/>
    <w:link w:val="Date"/>
    <w:uiPriority w:val="99"/>
    <w:semiHidden/>
    <w:rsid w:val="00FC788F"/>
    <w:rPr>
      <w:rFonts w:ascii="Times New Roman" w:hAnsi="Times New Roman" w:cs="Times New Roman"/>
      <w:sz w:val="24"/>
      <w:szCs w:val="24"/>
    </w:rPr>
  </w:style>
  <w:style w:type="paragraph" w:customStyle="1" w:styleId="pv-top-card-sectionsummary-text">
    <w:name w:val="pv-top-card-section__summary-text"/>
    <w:basedOn w:val="Normal"/>
    <w:rsid w:val="0007409B"/>
    <w:pPr>
      <w:spacing w:before="100" w:beforeAutospacing="1" w:after="100" w:afterAutospacing="1"/>
    </w:pPr>
  </w:style>
  <w:style w:type="paragraph" w:customStyle="1" w:styleId="p1">
    <w:name w:val="p1"/>
    <w:basedOn w:val="Normal"/>
    <w:rsid w:val="009C67FD"/>
    <w:rPr>
      <w:rFonts w:ascii="Helvetica" w:eastAsiaTheme="minorHAnsi" w:hAnsi="Helvetica" w:cs="Helvetica"/>
      <w:sz w:val="18"/>
      <w:szCs w:val="18"/>
    </w:rPr>
  </w:style>
  <w:style w:type="paragraph" w:styleId="ListParagraph">
    <w:name w:val="List Paragraph"/>
    <w:basedOn w:val="Normal"/>
    <w:uiPriority w:val="34"/>
    <w:qFormat/>
    <w:rsid w:val="0003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584">
      <w:bodyDiv w:val="1"/>
      <w:marLeft w:val="0"/>
      <w:marRight w:val="0"/>
      <w:marTop w:val="0"/>
      <w:marBottom w:val="0"/>
      <w:divBdr>
        <w:top w:val="none" w:sz="0" w:space="0" w:color="auto"/>
        <w:left w:val="none" w:sz="0" w:space="0" w:color="auto"/>
        <w:bottom w:val="none" w:sz="0" w:space="0" w:color="auto"/>
        <w:right w:val="none" w:sz="0" w:space="0" w:color="auto"/>
      </w:divBdr>
    </w:div>
    <w:div w:id="35203420">
      <w:bodyDiv w:val="1"/>
      <w:marLeft w:val="0"/>
      <w:marRight w:val="0"/>
      <w:marTop w:val="0"/>
      <w:marBottom w:val="0"/>
      <w:divBdr>
        <w:top w:val="none" w:sz="0" w:space="0" w:color="auto"/>
        <w:left w:val="none" w:sz="0" w:space="0" w:color="auto"/>
        <w:bottom w:val="none" w:sz="0" w:space="0" w:color="auto"/>
        <w:right w:val="none" w:sz="0" w:space="0" w:color="auto"/>
      </w:divBdr>
    </w:div>
    <w:div w:id="80222770">
      <w:bodyDiv w:val="1"/>
      <w:marLeft w:val="0"/>
      <w:marRight w:val="0"/>
      <w:marTop w:val="0"/>
      <w:marBottom w:val="0"/>
      <w:divBdr>
        <w:top w:val="none" w:sz="0" w:space="0" w:color="auto"/>
        <w:left w:val="none" w:sz="0" w:space="0" w:color="auto"/>
        <w:bottom w:val="none" w:sz="0" w:space="0" w:color="auto"/>
        <w:right w:val="none" w:sz="0" w:space="0" w:color="auto"/>
      </w:divBdr>
    </w:div>
    <w:div w:id="103308741">
      <w:bodyDiv w:val="1"/>
      <w:marLeft w:val="0"/>
      <w:marRight w:val="0"/>
      <w:marTop w:val="0"/>
      <w:marBottom w:val="0"/>
      <w:divBdr>
        <w:top w:val="none" w:sz="0" w:space="0" w:color="auto"/>
        <w:left w:val="none" w:sz="0" w:space="0" w:color="auto"/>
        <w:bottom w:val="none" w:sz="0" w:space="0" w:color="auto"/>
        <w:right w:val="none" w:sz="0" w:space="0" w:color="auto"/>
      </w:divBdr>
    </w:div>
    <w:div w:id="132257384">
      <w:bodyDiv w:val="1"/>
      <w:marLeft w:val="0"/>
      <w:marRight w:val="0"/>
      <w:marTop w:val="0"/>
      <w:marBottom w:val="0"/>
      <w:divBdr>
        <w:top w:val="none" w:sz="0" w:space="0" w:color="auto"/>
        <w:left w:val="none" w:sz="0" w:space="0" w:color="auto"/>
        <w:bottom w:val="none" w:sz="0" w:space="0" w:color="auto"/>
        <w:right w:val="none" w:sz="0" w:space="0" w:color="auto"/>
      </w:divBdr>
    </w:div>
    <w:div w:id="221597764">
      <w:bodyDiv w:val="1"/>
      <w:marLeft w:val="0"/>
      <w:marRight w:val="0"/>
      <w:marTop w:val="0"/>
      <w:marBottom w:val="0"/>
      <w:divBdr>
        <w:top w:val="none" w:sz="0" w:space="0" w:color="auto"/>
        <w:left w:val="none" w:sz="0" w:space="0" w:color="auto"/>
        <w:bottom w:val="none" w:sz="0" w:space="0" w:color="auto"/>
        <w:right w:val="none" w:sz="0" w:space="0" w:color="auto"/>
      </w:divBdr>
    </w:div>
    <w:div w:id="234823035">
      <w:bodyDiv w:val="1"/>
      <w:marLeft w:val="0"/>
      <w:marRight w:val="0"/>
      <w:marTop w:val="0"/>
      <w:marBottom w:val="0"/>
      <w:divBdr>
        <w:top w:val="none" w:sz="0" w:space="0" w:color="auto"/>
        <w:left w:val="none" w:sz="0" w:space="0" w:color="auto"/>
        <w:bottom w:val="none" w:sz="0" w:space="0" w:color="auto"/>
        <w:right w:val="none" w:sz="0" w:space="0" w:color="auto"/>
      </w:divBdr>
    </w:div>
    <w:div w:id="261499515">
      <w:bodyDiv w:val="1"/>
      <w:marLeft w:val="0"/>
      <w:marRight w:val="0"/>
      <w:marTop w:val="0"/>
      <w:marBottom w:val="0"/>
      <w:divBdr>
        <w:top w:val="none" w:sz="0" w:space="0" w:color="auto"/>
        <w:left w:val="none" w:sz="0" w:space="0" w:color="auto"/>
        <w:bottom w:val="none" w:sz="0" w:space="0" w:color="auto"/>
        <w:right w:val="none" w:sz="0" w:space="0" w:color="auto"/>
      </w:divBdr>
    </w:div>
    <w:div w:id="265845716">
      <w:bodyDiv w:val="1"/>
      <w:marLeft w:val="0"/>
      <w:marRight w:val="0"/>
      <w:marTop w:val="0"/>
      <w:marBottom w:val="0"/>
      <w:divBdr>
        <w:top w:val="none" w:sz="0" w:space="0" w:color="auto"/>
        <w:left w:val="none" w:sz="0" w:space="0" w:color="auto"/>
        <w:bottom w:val="none" w:sz="0" w:space="0" w:color="auto"/>
        <w:right w:val="none" w:sz="0" w:space="0" w:color="auto"/>
      </w:divBdr>
    </w:div>
    <w:div w:id="303396304">
      <w:bodyDiv w:val="1"/>
      <w:marLeft w:val="0"/>
      <w:marRight w:val="0"/>
      <w:marTop w:val="0"/>
      <w:marBottom w:val="0"/>
      <w:divBdr>
        <w:top w:val="none" w:sz="0" w:space="0" w:color="auto"/>
        <w:left w:val="none" w:sz="0" w:space="0" w:color="auto"/>
        <w:bottom w:val="none" w:sz="0" w:space="0" w:color="auto"/>
        <w:right w:val="none" w:sz="0" w:space="0" w:color="auto"/>
      </w:divBdr>
    </w:div>
    <w:div w:id="482620017">
      <w:bodyDiv w:val="1"/>
      <w:marLeft w:val="0"/>
      <w:marRight w:val="0"/>
      <w:marTop w:val="0"/>
      <w:marBottom w:val="0"/>
      <w:divBdr>
        <w:top w:val="none" w:sz="0" w:space="0" w:color="auto"/>
        <w:left w:val="none" w:sz="0" w:space="0" w:color="auto"/>
        <w:bottom w:val="none" w:sz="0" w:space="0" w:color="auto"/>
        <w:right w:val="none" w:sz="0" w:space="0" w:color="auto"/>
      </w:divBdr>
    </w:div>
    <w:div w:id="501239751">
      <w:bodyDiv w:val="1"/>
      <w:marLeft w:val="0"/>
      <w:marRight w:val="0"/>
      <w:marTop w:val="0"/>
      <w:marBottom w:val="0"/>
      <w:divBdr>
        <w:top w:val="none" w:sz="0" w:space="0" w:color="auto"/>
        <w:left w:val="none" w:sz="0" w:space="0" w:color="auto"/>
        <w:bottom w:val="none" w:sz="0" w:space="0" w:color="auto"/>
        <w:right w:val="none" w:sz="0" w:space="0" w:color="auto"/>
      </w:divBdr>
    </w:div>
    <w:div w:id="598635121">
      <w:bodyDiv w:val="1"/>
      <w:marLeft w:val="0"/>
      <w:marRight w:val="0"/>
      <w:marTop w:val="0"/>
      <w:marBottom w:val="0"/>
      <w:divBdr>
        <w:top w:val="none" w:sz="0" w:space="0" w:color="auto"/>
        <w:left w:val="none" w:sz="0" w:space="0" w:color="auto"/>
        <w:bottom w:val="none" w:sz="0" w:space="0" w:color="auto"/>
        <w:right w:val="none" w:sz="0" w:space="0" w:color="auto"/>
      </w:divBdr>
    </w:div>
    <w:div w:id="610747775">
      <w:bodyDiv w:val="1"/>
      <w:marLeft w:val="0"/>
      <w:marRight w:val="0"/>
      <w:marTop w:val="0"/>
      <w:marBottom w:val="0"/>
      <w:divBdr>
        <w:top w:val="none" w:sz="0" w:space="0" w:color="auto"/>
        <w:left w:val="none" w:sz="0" w:space="0" w:color="auto"/>
        <w:bottom w:val="none" w:sz="0" w:space="0" w:color="auto"/>
        <w:right w:val="none" w:sz="0" w:space="0" w:color="auto"/>
      </w:divBdr>
    </w:div>
    <w:div w:id="628317034">
      <w:bodyDiv w:val="1"/>
      <w:marLeft w:val="0"/>
      <w:marRight w:val="0"/>
      <w:marTop w:val="0"/>
      <w:marBottom w:val="0"/>
      <w:divBdr>
        <w:top w:val="none" w:sz="0" w:space="0" w:color="auto"/>
        <w:left w:val="none" w:sz="0" w:space="0" w:color="auto"/>
        <w:bottom w:val="none" w:sz="0" w:space="0" w:color="auto"/>
        <w:right w:val="none" w:sz="0" w:space="0" w:color="auto"/>
      </w:divBdr>
      <w:divsChild>
        <w:div w:id="127212050">
          <w:marLeft w:val="0"/>
          <w:marRight w:val="0"/>
          <w:marTop w:val="0"/>
          <w:marBottom w:val="0"/>
          <w:divBdr>
            <w:top w:val="none" w:sz="0" w:space="0" w:color="auto"/>
            <w:left w:val="none" w:sz="0" w:space="0" w:color="auto"/>
            <w:bottom w:val="none" w:sz="0" w:space="0" w:color="auto"/>
            <w:right w:val="none" w:sz="0" w:space="0" w:color="auto"/>
          </w:divBdr>
        </w:div>
        <w:div w:id="421922944">
          <w:marLeft w:val="0"/>
          <w:marRight w:val="0"/>
          <w:marTop w:val="0"/>
          <w:marBottom w:val="0"/>
          <w:divBdr>
            <w:top w:val="single" w:sz="6" w:space="0" w:color="BDBDBD"/>
            <w:left w:val="none" w:sz="0" w:space="0" w:color="auto"/>
            <w:bottom w:val="none" w:sz="0" w:space="0" w:color="auto"/>
            <w:right w:val="none" w:sz="0" w:space="0" w:color="auto"/>
          </w:divBdr>
          <w:divsChild>
            <w:div w:id="1011877142">
              <w:marLeft w:val="0"/>
              <w:marRight w:val="0"/>
              <w:marTop w:val="0"/>
              <w:marBottom w:val="0"/>
              <w:divBdr>
                <w:top w:val="none" w:sz="0" w:space="0" w:color="auto"/>
                <w:left w:val="none" w:sz="0" w:space="0" w:color="auto"/>
                <w:bottom w:val="none" w:sz="0" w:space="0" w:color="auto"/>
                <w:right w:val="none" w:sz="0" w:space="0" w:color="auto"/>
              </w:divBdr>
            </w:div>
            <w:div w:id="20850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9159">
      <w:bodyDiv w:val="1"/>
      <w:marLeft w:val="0"/>
      <w:marRight w:val="0"/>
      <w:marTop w:val="0"/>
      <w:marBottom w:val="0"/>
      <w:divBdr>
        <w:top w:val="none" w:sz="0" w:space="0" w:color="auto"/>
        <w:left w:val="none" w:sz="0" w:space="0" w:color="auto"/>
        <w:bottom w:val="none" w:sz="0" w:space="0" w:color="auto"/>
        <w:right w:val="none" w:sz="0" w:space="0" w:color="auto"/>
      </w:divBdr>
    </w:div>
    <w:div w:id="650982572">
      <w:bodyDiv w:val="1"/>
      <w:marLeft w:val="0"/>
      <w:marRight w:val="0"/>
      <w:marTop w:val="0"/>
      <w:marBottom w:val="0"/>
      <w:divBdr>
        <w:top w:val="none" w:sz="0" w:space="0" w:color="auto"/>
        <w:left w:val="none" w:sz="0" w:space="0" w:color="auto"/>
        <w:bottom w:val="none" w:sz="0" w:space="0" w:color="auto"/>
        <w:right w:val="none" w:sz="0" w:space="0" w:color="auto"/>
      </w:divBdr>
    </w:div>
    <w:div w:id="656307478">
      <w:bodyDiv w:val="1"/>
      <w:marLeft w:val="0"/>
      <w:marRight w:val="0"/>
      <w:marTop w:val="0"/>
      <w:marBottom w:val="0"/>
      <w:divBdr>
        <w:top w:val="none" w:sz="0" w:space="0" w:color="auto"/>
        <w:left w:val="none" w:sz="0" w:space="0" w:color="auto"/>
        <w:bottom w:val="none" w:sz="0" w:space="0" w:color="auto"/>
        <w:right w:val="none" w:sz="0" w:space="0" w:color="auto"/>
      </w:divBdr>
    </w:div>
    <w:div w:id="710812994">
      <w:bodyDiv w:val="1"/>
      <w:marLeft w:val="0"/>
      <w:marRight w:val="0"/>
      <w:marTop w:val="0"/>
      <w:marBottom w:val="0"/>
      <w:divBdr>
        <w:top w:val="none" w:sz="0" w:space="0" w:color="auto"/>
        <w:left w:val="none" w:sz="0" w:space="0" w:color="auto"/>
        <w:bottom w:val="none" w:sz="0" w:space="0" w:color="auto"/>
        <w:right w:val="none" w:sz="0" w:space="0" w:color="auto"/>
      </w:divBdr>
    </w:div>
    <w:div w:id="745537704">
      <w:bodyDiv w:val="1"/>
      <w:marLeft w:val="0"/>
      <w:marRight w:val="0"/>
      <w:marTop w:val="0"/>
      <w:marBottom w:val="0"/>
      <w:divBdr>
        <w:top w:val="none" w:sz="0" w:space="0" w:color="auto"/>
        <w:left w:val="none" w:sz="0" w:space="0" w:color="auto"/>
        <w:bottom w:val="none" w:sz="0" w:space="0" w:color="auto"/>
        <w:right w:val="none" w:sz="0" w:space="0" w:color="auto"/>
      </w:divBdr>
    </w:div>
    <w:div w:id="748308144">
      <w:bodyDiv w:val="1"/>
      <w:marLeft w:val="0"/>
      <w:marRight w:val="0"/>
      <w:marTop w:val="0"/>
      <w:marBottom w:val="0"/>
      <w:divBdr>
        <w:top w:val="none" w:sz="0" w:space="0" w:color="auto"/>
        <w:left w:val="none" w:sz="0" w:space="0" w:color="auto"/>
        <w:bottom w:val="none" w:sz="0" w:space="0" w:color="auto"/>
        <w:right w:val="none" w:sz="0" w:space="0" w:color="auto"/>
      </w:divBdr>
    </w:div>
    <w:div w:id="988678431">
      <w:bodyDiv w:val="1"/>
      <w:marLeft w:val="0"/>
      <w:marRight w:val="0"/>
      <w:marTop w:val="0"/>
      <w:marBottom w:val="0"/>
      <w:divBdr>
        <w:top w:val="none" w:sz="0" w:space="0" w:color="auto"/>
        <w:left w:val="none" w:sz="0" w:space="0" w:color="auto"/>
        <w:bottom w:val="none" w:sz="0" w:space="0" w:color="auto"/>
        <w:right w:val="none" w:sz="0" w:space="0" w:color="auto"/>
      </w:divBdr>
    </w:div>
    <w:div w:id="1091319001">
      <w:bodyDiv w:val="1"/>
      <w:marLeft w:val="0"/>
      <w:marRight w:val="0"/>
      <w:marTop w:val="0"/>
      <w:marBottom w:val="0"/>
      <w:divBdr>
        <w:top w:val="none" w:sz="0" w:space="0" w:color="auto"/>
        <w:left w:val="none" w:sz="0" w:space="0" w:color="auto"/>
        <w:bottom w:val="none" w:sz="0" w:space="0" w:color="auto"/>
        <w:right w:val="none" w:sz="0" w:space="0" w:color="auto"/>
      </w:divBdr>
    </w:div>
    <w:div w:id="1174296927">
      <w:bodyDiv w:val="1"/>
      <w:marLeft w:val="0"/>
      <w:marRight w:val="0"/>
      <w:marTop w:val="0"/>
      <w:marBottom w:val="0"/>
      <w:divBdr>
        <w:top w:val="none" w:sz="0" w:space="0" w:color="auto"/>
        <w:left w:val="none" w:sz="0" w:space="0" w:color="auto"/>
        <w:bottom w:val="none" w:sz="0" w:space="0" w:color="auto"/>
        <w:right w:val="none" w:sz="0" w:space="0" w:color="auto"/>
      </w:divBdr>
    </w:div>
    <w:div w:id="1290353628">
      <w:bodyDiv w:val="1"/>
      <w:marLeft w:val="0"/>
      <w:marRight w:val="0"/>
      <w:marTop w:val="0"/>
      <w:marBottom w:val="0"/>
      <w:divBdr>
        <w:top w:val="none" w:sz="0" w:space="0" w:color="auto"/>
        <w:left w:val="none" w:sz="0" w:space="0" w:color="auto"/>
        <w:bottom w:val="none" w:sz="0" w:space="0" w:color="auto"/>
        <w:right w:val="none" w:sz="0" w:space="0" w:color="auto"/>
      </w:divBdr>
    </w:div>
    <w:div w:id="1317881318">
      <w:bodyDiv w:val="1"/>
      <w:marLeft w:val="0"/>
      <w:marRight w:val="0"/>
      <w:marTop w:val="0"/>
      <w:marBottom w:val="0"/>
      <w:divBdr>
        <w:top w:val="none" w:sz="0" w:space="0" w:color="auto"/>
        <w:left w:val="none" w:sz="0" w:space="0" w:color="auto"/>
        <w:bottom w:val="none" w:sz="0" w:space="0" w:color="auto"/>
        <w:right w:val="none" w:sz="0" w:space="0" w:color="auto"/>
      </w:divBdr>
    </w:div>
    <w:div w:id="1412387581">
      <w:bodyDiv w:val="1"/>
      <w:marLeft w:val="0"/>
      <w:marRight w:val="0"/>
      <w:marTop w:val="0"/>
      <w:marBottom w:val="0"/>
      <w:divBdr>
        <w:top w:val="none" w:sz="0" w:space="0" w:color="auto"/>
        <w:left w:val="none" w:sz="0" w:space="0" w:color="auto"/>
        <w:bottom w:val="none" w:sz="0" w:space="0" w:color="auto"/>
        <w:right w:val="none" w:sz="0" w:space="0" w:color="auto"/>
      </w:divBdr>
    </w:div>
    <w:div w:id="1567493864">
      <w:bodyDiv w:val="1"/>
      <w:marLeft w:val="0"/>
      <w:marRight w:val="0"/>
      <w:marTop w:val="0"/>
      <w:marBottom w:val="0"/>
      <w:divBdr>
        <w:top w:val="none" w:sz="0" w:space="0" w:color="auto"/>
        <w:left w:val="none" w:sz="0" w:space="0" w:color="auto"/>
        <w:bottom w:val="none" w:sz="0" w:space="0" w:color="auto"/>
        <w:right w:val="none" w:sz="0" w:space="0" w:color="auto"/>
      </w:divBdr>
    </w:div>
    <w:div w:id="1576090695">
      <w:bodyDiv w:val="1"/>
      <w:marLeft w:val="0"/>
      <w:marRight w:val="0"/>
      <w:marTop w:val="0"/>
      <w:marBottom w:val="0"/>
      <w:divBdr>
        <w:top w:val="none" w:sz="0" w:space="0" w:color="auto"/>
        <w:left w:val="none" w:sz="0" w:space="0" w:color="auto"/>
        <w:bottom w:val="none" w:sz="0" w:space="0" w:color="auto"/>
        <w:right w:val="none" w:sz="0" w:space="0" w:color="auto"/>
      </w:divBdr>
    </w:div>
    <w:div w:id="1596092229">
      <w:bodyDiv w:val="1"/>
      <w:marLeft w:val="0"/>
      <w:marRight w:val="0"/>
      <w:marTop w:val="0"/>
      <w:marBottom w:val="0"/>
      <w:divBdr>
        <w:top w:val="none" w:sz="0" w:space="0" w:color="auto"/>
        <w:left w:val="none" w:sz="0" w:space="0" w:color="auto"/>
        <w:bottom w:val="none" w:sz="0" w:space="0" w:color="auto"/>
        <w:right w:val="none" w:sz="0" w:space="0" w:color="auto"/>
      </w:divBdr>
    </w:div>
    <w:div w:id="1635409792">
      <w:bodyDiv w:val="1"/>
      <w:marLeft w:val="0"/>
      <w:marRight w:val="0"/>
      <w:marTop w:val="0"/>
      <w:marBottom w:val="0"/>
      <w:divBdr>
        <w:top w:val="none" w:sz="0" w:space="0" w:color="auto"/>
        <w:left w:val="none" w:sz="0" w:space="0" w:color="auto"/>
        <w:bottom w:val="none" w:sz="0" w:space="0" w:color="auto"/>
        <w:right w:val="none" w:sz="0" w:space="0" w:color="auto"/>
      </w:divBdr>
    </w:div>
    <w:div w:id="1637220546">
      <w:bodyDiv w:val="1"/>
      <w:marLeft w:val="0"/>
      <w:marRight w:val="0"/>
      <w:marTop w:val="0"/>
      <w:marBottom w:val="0"/>
      <w:divBdr>
        <w:top w:val="none" w:sz="0" w:space="0" w:color="auto"/>
        <w:left w:val="none" w:sz="0" w:space="0" w:color="auto"/>
        <w:bottom w:val="none" w:sz="0" w:space="0" w:color="auto"/>
        <w:right w:val="none" w:sz="0" w:space="0" w:color="auto"/>
      </w:divBdr>
    </w:div>
    <w:div w:id="1729451619">
      <w:bodyDiv w:val="1"/>
      <w:marLeft w:val="0"/>
      <w:marRight w:val="0"/>
      <w:marTop w:val="0"/>
      <w:marBottom w:val="0"/>
      <w:divBdr>
        <w:top w:val="none" w:sz="0" w:space="0" w:color="auto"/>
        <w:left w:val="none" w:sz="0" w:space="0" w:color="auto"/>
        <w:bottom w:val="none" w:sz="0" w:space="0" w:color="auto"/>
        <w:right w:val="none" w:sz="0" w:space="0" w:color="auto"/>
      </w:divBdr>
    </w:div>
    <w:div w:id="1739204078">
      <w:bodyDiv w:val="1"/>
      <w:marLeft w:val="0"/>
      <w:marRight w:val="0"/>
      <w:marTop w:val="0"/>
      <w:marBottom w:val="0"/>
      <w:divBdr>
        <w:top w:val="none" w:sz="0" w:space="0" w:color="auto"/>
        <w:left w:val="none" w:sz="0" w:space="0" w:color="auto"/>
        <w:bottom w:val="none" w:sz="0" w:space="0" w:color="auto"/>
        <w:right w:val="none" w:sz="0" w:space="0" w:color="auto"/>
      </w:divBdr>
    </w:div>
    <w:div w:id="1753500454">
      <w:bodyDiv w:val="1"/>
      <w:marLeft w:val="0"/>
      <w:marRight w:val="0"/>
      <w:marTop w:val="0"/>
      <w:marBottom w:val="0"/>
      <w:divBdr>
        <w:top w:val="none" w:sz="0" w:space="0" w:color="auto"/>
        <w:left w:val="none" w:sz="0" w:space="0" w:color="auto"/>
        <w:bottom w:val="none" w:sz="0" w:space="0" w:color="auto"/>
        <w:right w:val="none" w:sz="0" w:space="0" w:color="auto"/>
      </w:divBdr>
    </w:div>
    <w:div w:id="1761483650">
      <w:bodyDiv w:val="1"/>
      <w:marLeft w:val="0"/>
      <w:marRight w:val="0"/>
      <w:marTop w:val="0"/>
      <w:marBottom w:val="0"/>
      <w:divBdr>
        <w:top w:val="none" w:sz="0" w:space="0" w:color="auto"/>
        <w:left w:val="none" w:sz="0" w:space="0" w:color="auto"/>
        <w:bottom w:val="none" w:sz="0" w:space="0" w:color="auto"/>
        <w:right w:val="none" w:sz="0" w:space="0" w:color="auto"/>
      </w:divBdr>
    </w:div>
    <w:div w:id="1786656715">
      <w:bodyDiv w:val="1"/>
      <w:marLeft w:val="0"/>
      <w:marRight w:val="0"/>
      <w:marTop w:val="0"/>
      <w:marBottom w:val="0"/>
      <w:divBdr>
        <w:top w:val="none" w:sz="0" w:space="0" w:color="auto"/>
        <w:left w:val="none" w:sz="0" w:space="0" w:color="auto"/>
        <w:bottom w:val="none" w:sz="0" w:space="0" w:color="auto"/>
        <w:right w:val="none" w:sz="0" w:space="0" w:color="auto"/>
      </w:divBdr>
      <w:divsChild>
        <w:div w:id="1413894678">
          <w:marLeft w:val="0"/>
          <w:marRight w:val="0"/>
          <w:marTop w:val="0"/>
          <w:marBottom w:val="0"/>
          <w:divBdr>
            <w:top w:val="none" w:sz="0" w:space="0" w:color="auto"/>
            <w:left w:val="none" w:sz="0" w:space="0" w:color="auto"/>
            <w:bottom w:val="none" w:sz="0" w:space="0" w:color="auto"/>
            <w:right w:val="none" w:sz="0" w:space="0" w:color="auto"/>
          </w:divBdr>
        </w:div>
        <w:div w:id="1139103890">
          <w:marLeft w:val="0"/>
          <w:marRight w:val="0"/>
          <w:marTop w:val="0"/>
          <w:marBottom w:val="0"/>
          <w:divBdr>
            <w:top w:val="none" w:sz="0" w:space="0" w:color="auto"/>
            <w:left w:val="none" w:sz="0" w:space="0" w:color="auto"/>
            <w:bottom w:val="none" w:sz="0" w:space="0" w:color="auto"/>
            <w:right w:val="none" w:sz="0" w:space="0" w:color="auto"/>
          </w:divBdr>
        </w:div>
      </w:divsChild>
    </w:div>
    <w:div w:id="1838185424">
      <w:bodyDiv w:val="1"/>
      <w:marLeft w:val="0"/>
      <w:marRight w:val="0"/>
      <w:marTop w:val="0"/>
      <w:marBottom w:val="0"/>
      <w:divBdr>
        <w:top w:val="none" w:sz="0" w:space="0" w:color="auto"/>
        <w:left w:val="none" w:sz="0" w:space="0" w:color="auto"/>
        <w:bottom w:val="none" w:sz="0" w:space="0" w:color="auto"/>
        <w:right w:val="none" w:sz="0" w:space="0" w:color="auto"/>
      </w:divBdr>
    </w:div>
    <w:div w:id="1851597593">
      <w:bodyDiv w:val="1"/>
      <w:marLeft w:val="0"/>
      <w:marRight w:val="0"/>
      <w:marTop w:val="0"/>
      <w:marBottom w:val="0"/>
      <w:divBdr>
        <w:top w:val="none" w:sz="0" w:space="0" w:color="auto"/>
        <w:left w:val="none" w:sz="0" w:space="0" w:color="auto"/>
        <w:bottom w:val="none" w:sz="0" w:space="0" w:color="auto"/>
        <w:right w:val="none" w:sz="0" w:space="0" w:color="auto"/>
      </w:divBdr>
    </w:div>
    <w:div w:id="1880970414">
      <w:bodyDiv w:val="1"/>
      <w:marLeft w:val="0"/>
      <w:marRight w:val="0"/>
      <w:marTop w:val="0"/>
      <w:marBottom w:val="0"/>
      <w:divBdr>
        <w:top w:val="none" w:sz="0" w:space="0" w:color="auto"/>
        <w:left w:val="none" w:sz="0" w:space="0" w:color="auto"/>
        <w:bottom w:val="none" w:sz="0" w:space="0" w:color="auto"/>
        <w:right w:val="none" w:sz="0" w:space="0" w:color="auto"/>
      </w:divBdr>
      <w:divsChild>
        <w:div w:id="287854374">
          <w:marLeft w:val="0"/>
          <w:marRight w:val="0"/>
          <w:marTop w:val="0"/>
          <w:marBottom w:val="0"/>
          <w:divBdr>
            <w:top w:val="none" w:sz="0" w:space="0" w:color="auto"/>
            <w:left w:val="none" w:sz="0" w:space="0" w:color="auto"/>
            <w:bottom w:val="none" w:sz="0" w:space="0" w:color="auto"/>
            <w:right w:val="none" w:sz="0" w:space="0" w:color="auto"/>
          </w:divBdr>
        </w:div>
        <w:div w:id="1324774">
          <w:marLeft w:val="0"/>
          <w:marRight w:val="0"/>
          <w:marTop w:val="0"/>
          <w:marBottom w:val="0"/>
          <w:divBdr>
            <w:top w:val="none" w:sz="0" w:space="0" w:color="auto"/>
            <w:left w:val="none" w:sz="0" w:space="0" w:color="auto"/>
            <w:bottom w:val="none" w:sz="0" w:space="0" w:color="auto"/>
            <w:right w:val="none" w:sz="0" w:space="0" w:color="auto"/>
          </w:divBdr>
        </w:div>
        <w:div w:id="699744022">
          <w:marLeft w:val="0"/>
          <w:marRight w:val="0"/>
          <w:marTop w:val="0"/>
          <w:marBottom w:val="0"/>
          <w:divBdr>
            <w:top w:val="none" w:sz="0" w:space="0" w:color="auto"/>
            <w:left w:val="none" w:sz="0" w:space="0" w:color="auto"/>
            <w:bottom w:val="none" w:sz="0" w:space="0" w:color="auto"/>
            <w:right w:val="none" w:sz="0" w:space="0" w:color="auto"/>
          </w:divBdr>
        </w:div>
        <w:div w:id="1236741481">
          <w:marLeft w:val="0"/>
          <w:marRight w:val="0"/>
          <w:marTop w:val="0"/>
          <w:marBottom w:val="0"/>
          <w:divBdr>
            <w:top w:val="none" w:sz="0" w:space="0" w:color="auto"/>
            <w:left w:val="none" w:sz="0" w:space="0" w:color="auto"/>
            <w:bottom w:val="none" w:sz="0" w:space="0" w:color="auto"/>
            <w:right w:val="none" w:sz="0" w:space="0" w:color="auto"/>
          </w:divBdr>
        </w:div>
        <w:div w:id="642663368">
          <w:marLeft w:val="0"/>
          <w:marRight w:val="0"/>
          <w:marTop w:val="0"/>
          <w:marBottom w:val="0"/>
          <w:divBdr>
            <w:top w:val="none" w:sz="0" w:space="0" w:color="auto"/>
            <w:left w:val="none" w:sz="0" w:space="0" w:color="auto"/>
            <w:bottom w:val="none" w:sz="0" w:space="0" w:color="auto"/>
            <w:right w:val="none" w:sz="0" w:space="0" w:color="auto"/>
          </w:divBdr>
        </w:div>
        <w:div w:id="1983654729">
          <w:marLeft w:val="0"/>
          <w:marRight w:val="0"/>
          <w:marTop w:val="0"/>
          <w:marBottom w:val="0"/>
          <w:divBdr>
            <w:top w:val="none" w:sz="0" w:space="0" w:color="auto"/>
            <w:left w:val="none" w:sz="0" w:space="0" w:color="auto"/>
            <w:bottom w:val="none" w:sz="0" w:space="0" w:color="auto"/>
            <w:right w:val="none" w:sz="0" w:space="0" w:color="auto"/>
          </w:divBdr>
        </w:div>
        <w:div w:id="692614836">
          <w:marLeft w:val="0"/>
          <w:marRight w:val="0"/>
          <w:marTop w:val="0"/>
          <w:marBottom w:val="0"/>
          <w:divBdr>
            <w:top w:val="none" w:sz="0" w:space="0" w:color="auto"/>
            <w:left w:val="none" w:sz="0" w:space="0" w:color="auto"/>
            <w:bottom w:val="none" w:sz="0" w:space="0" w:color="auto"/>
            <w:right w:val="none" w:sz="0" w:space="0" w:color="auto"/>
          </w:divBdr>
        </w:div>
      </w:divsChild>
    </w:div>
    <w:div w:id="1892036413">
      <w:bodyDiv w:val="1"/>
      <w:marLeft w:val="0"/>
      <w:marRight w:val="0"/>
      <w:marTop w:val="0"/>
      <w:marBottom w:val="0"/>
      <w:divBdr>
        <w:top w:val="none" w:sz="0" w:space="0" w:color="auto"/>
        <w:left w:val="none" w:sz="0" w:space="0" w:color="auto"/>
        <w:bottom w:val="none" w:sz="0" w:space="0" w:color="auto"/>
        <w:right w:val="none" w:sz="0" w:space="0" w:color="auto"/>
      </w:divBdr>
    </w:div>
    <w:div w:id="1914657746">
      <w:bodyDiv w:val="1"/>
      <w:marLeft w:val="0"/>
      <w:marRight w:val="0"/>
      <w:marTop w:val="0"/>
      <w:marBottom w:val="0"/>
      <w:divBdr>
        <w:top w:val="none" w:sz="0" w:space="0" w:color="auto"/>
        <w:left w:val="none" w:sz="0" w:space="0" w:color="auto"/>
        <w:bottom w:val="none" w:sz="0" w:space="0" w:color="auto"/>
        <w:right w:val="none" w:sz="0" w:space="0" w:color="auto"/>
      </w:divBdr>
    </w:div>
    <w:div w:id="1997607550">
      <w:bodyDiv w:val="1"/>
      <w:marLeft w:val="0"/>
      <w:marRight w:val="0"/>
      <w:marTop w:val="0"/>
      <w:marBottom w:val="0"/>
      <w:divBdr>
        <w:top w:val="none" w:sz="0" w:space="0" w:color="auto"/>
        <w:left w:val="none" w:sz="0" w:space="0" w:color="auto"/>
        <w:bottom w:val="none" w:sz="0" w:space="0" w:color="auto"/>
        <w:right w:val="none" w:sz="0" w:space="0" w:color="auto"/>
      </w:divBdr>
    </w:div>
    <w:div w:id="2029407051">
      <w:bodyDiv w:val="1"/>
      <w:marLeft w:val="0"/>
      <w:marRight w:val="0"/>
      <w:marTop w:val="0"/>
      <w:marBottom w:val="0"/>
      <w:divBdr>
        <w:top w:val="none" w:sz="0" w:space="0" w:color="auto"/>
        <w:left w:val="none" w:sz="0" w:space="0" w:color="auto"/>
        <w:bottom w:val="none" w:sz="0" w:space="0" w:color="auto"/>
        <w:right w:val="none" w:sz="0" w:space="0" w:color="auto"/>
      </w:divBdr>
    </w:div>
    <w:div w:id="2029985817">
      <w:bodyDiv w:val="1"/>
      <w:marLeft w:val="0"/>
      <w:marRight w:val="0"/>
      <w:marTop w:val="0"/>
      <w:marBottom w:val="0"/>
      <w:divBdr>
        <w:top w:val="none" w:sz="0" w:space="0" w:color="auto"/>
        <w:left w:val="none" w:sz="0" w:space="0" w:color="auto"/>
        <w:bottom w:val="none" w:sz="0" w:space="0" w:color="auto"/>
        <w:right w:val="none" w:sz="0" w:space="0" w:color="auto"/>
      </w:divBdr>
    </w:div>
    <w:div w:id="2039770677">
      <w:bodyDiv w:val="1"/>
      <w:marLeft w:val="0"/>
      <w:marRight w:val="0"/>
      <w:marTop w:val="0"/>
      <w:marBottom w:val="0"/>
      <w:divBdr>
        <w:top w:val="none" w:sz="0" w:space="0" w:color="auto"/>
        <w:left w:val="none" w:sz="0" w:space="0" w:color="auto"/>
        <w:bottom w:val="none" w:sz="0" w:space="0" w:color="auto"/>
        <w:right w:val="none" w:sz="0" w:space="0" w:color="auto"/>
      </w:divBdr>
      <w:divsChild>
        <w:div w:id="1452633215">
          <w:marLeft w:val="0"/>
          <w:marRight w:val="0"/>
          <w:marTop w:val="0"/>
          <w:marBottom w:val="0"/>
          <w:divBdr>
            <w:top w:val="none" w:sz="0" w:space="0" w:color="auto"/>
            <w:left w:val="none" w:sz="0" w:space="0" w:color="auto"/>
            <w:bottom w:val="none" w:sz="0" w:space="0" w:color="auto"/>
            <w:right w:val="none" w:sz="0" w:space="0" w:color="auto"/>
          </w:divBdr>
        </w:div>
        <w:div w:id="1682313961">
          <w:marLeft w:val="0"/>
          <w:marRight w:val="0"/>
          <w:marTop w:val="0"/>
          <w:marBottom w:val="0"/>
          <w:divBdr>
            <w:top w:val="none" w:sz="0" w:space="0" w:color="auto"/>
            <w:left w:val="none" w:sz="0" w:space="0" w:color="auto"/>
            <w:bottom w:val="none" w:sz="0" w:space="0" w:color="auto"/>
            <w:right w:val="none" w:sz="0" w:space="0" w:color="auto"/>
          </w:divBdr>
          <w:divsChild>
            <w:div w:id="983046322">
              <w:marLeft w:val="0"/>
              <w:marRight w:val="0"/>
              <w:marTop w:val="0"/>
              <w:marBottom w:val="0"/>
              <w:divBdr>
                <w:top w:val="none" w:sz="0" w:space="0" w:color="auto"/>
                <w:left w:val="none" w:sz="0" w:space="0" w:color="auto"/>
                <w:bottom w:val="none" w:sz="0" w:space="0" w:color="auto"/>
                <w:right w:val="none" w:sz="0" w:space="0" w:color="auto"/>
              </w:divBdr>
            </w:div>
            <w:div w:id="1699623395">
              <w:marLeft w:val="0"/>
              <w:marRight w:val="0"/>
              <w:marTop w:val="0"/>
              <w:marBottom w:val="0"/>
              <w:divBdr>
                <w:top w:val="none" w:sz="0" w:space="0" w:color="auto"/>
                <w:left w:val="none" w:sz="0" w:space="0" w:color="auto"/>
                <w:bottom w:val="none" w:sz="0" w:space="0" w:color="auto"/>
                <w:right w:val="none" w:sz="0" w:space="0" w:color="auto"/>
              </w:divBdr>
            </w:div>
          </w:divsChild>
        </w:div>
        <w:div w:id="2082605810">
          <w:marLeft w:val="0"/>
          <w:marRight w:val="0"/>
          <w:marTop w:val="0"/>
          <w:marBottom w:val="0"/>
          <w:divBdr>
            <w:top w:val="none" w:sz="0" w:space="0" w:color="auto"/>
            <w:left w:val="none" w:sz="0" w:space="0" w:color="auto"/>
            <w:bottom w:val="none" w:sz="0" w:space="0" w:color="auto"/>
            <w:right w:val="none" w:sz="0" w:space="0" w:color="auto"/>
          </w:divBdr>
          <w:divsChild>
            <w:div w:id="11693054">
              <w:marLeft w:val="0"/>
              <w:marRight w:val="0"/>
              <w:marTop w:val="0"/>
              <w:marBottom w:val="150"/>
              <w:divBdr>
                <w:top w:val="none" w:sz="0" w:space="0" w:color="auto"/>
                <w:left w:val="none" w:sz="0" w:space="0" w:color="auto"/>
                <w:bottom w:val="none" w:sz="0" w:space="0" w:color="auto"/>
                <w:right w:val="none" w:sz="0" w:space="0" w:color="auto"/>
              </w:divBdr>
            </w:div>
            <w:div w:id="876085842">
              <w:marLeft w:val="0"/>
              <w:marRight w:val="0"/>
              <w:marTop w:val="0"/>
              <w:marBottom w:val="0"/>
              <w:divBdr>
                <w:top w:val="none" w:sz="0" w:space="0" w:color="auto"/>
                <w:left w:val="none" w:sz="0" w:space="0" w:color="auto"/>
                <w:bottom w:val="none" w:sz="0" w:space="0" w:color="auto"/>
                <w:right w:val="none" w:sz="0" w:space="0" w:color="auto"/>
              </w:divBdr>
              <w:divsChild>
                <w:div w:id="11105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5677">
      <w:bodyDiv w:val="1"/>
      <w:marLeft w:val="0"/>
      <w:marRight w:val="0"/>
      <w:marTop w:val="0"/>
      <w:marBottom w:val="0"/>
      <w:divBdr>
        <w:top w:val="none" w:sz="0" w:space="0" w:color="auto"/>
        <w:left w:val="none" w:sz="0" w:space="0" w:color="auto"/>
        <w:bottom w:val="none" w:sz="0" w:space="0" w:color="auto"/>
        <w:right w:val="none" w:sz="0" w:space="0" w:color="auto"/>
      </w:divBdr>
      <w:divsChild>
        <w:div w:id="651980506">
          <w:marLeft w:val="0"/>
          <w:marRight w:val="0"/>
          <w:marTop w:val="0"/>
          <w:marBottom w:val="0"/>
          <w:divBdr>
            <w:top w:val="none" w:sz="0" w:space="0" w:color="auto"/>
            <w:left w:val="none" w:sz="0" w:space="0" w:color="auto"/>
            <w:bottom w:val="none" w:sz="0" w:space="0" w:color="auto"/>
            <w:right w:val="none" w:sz="0" w:space="0" w:color="auto"/>
          </w:divBdr>
        </w:div>
        <w:div w:id="1758600554">
          <w:marLeft w:val="0"/>
          <w:marRight w:val="0"/>
          <w:marTop w:val="0"/>
          <w:marBottom w:val="0"/>
          <w:divBdr>
            <w:top w:val="none" w:sz="0" w:space="0" w:color="auto"/>
            <w:left w:val="none" w:sz="0" w:space="0" w:color="auto"/>
            <w:bottom w:val="none" w:sz="0" w:space="0" w:color="auto"/>
            <w:right w:val="none" w:sz="0" w:space="0" w:color="auto"/>
          </w:divBdr>
          <w:divsChild>
            <w:div w:id="1368531048">
              <w:marLeft w:val="0"/>
              <w:marRight w:val="0"/>
              <w:marTop w:val="0"/>
              <w:marBottom w:val="150"/>
              <w:divBdr>
                <w:top w:val="none" w:sz="0" w:space="0" w:color="auto"/>
                <w:left w:val="none" w:sz="0" w:space="0" w:color="auto"/>
                <w:bottom w:val="none" w:sz="0" w:space="0" w:color="auto"/>
                <w:right w:val="none" w:sz="0" w:space="0" w:color="auto"/>
              </w:divBdr>
            </w:div>
            <w:div w:id="547108437">
              <w:marLeft w:val="0"/>
              <w:marRight w:val="0"/>
              <w:marTop w:val="0"/>
              <w:marBottom w:val="0"/>
              <w:divBdr>
                <w:top w:val="none" w:sz="0" w:space="0" w:color="auto"/>
                <w:left w:val="none" w:sz="0" w:space="0" w:color="auto"/>
                <w:bottom w:val="none" w:sz="0" w:space="0" w:color="auto"/>
                <w:right w:val="none" w:sz="0" w:space="0" w:color="auto"/>
              </w:divBdr>
              <w:divsChild>
                <w:div w:id="136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www.nortonrosefulbright.com/knowledge/publications/169646/banking-code-of-practice" TargetMode="External"/><Relationship Id="rId12" Type="http://schemas.openxmlformats.org/officeDocument/2006/relationships/hyperlink" Target="http://www.nortonrosefulbright.com/knowledge/publications/168341/ipso-facto-law-reform" TargetMode="External"/><Relationship Id="rId13" Type="http://schemas.openxmlformats.org/officeDocument/2006/relationships/image" Target="media/image5.png"/><Relationship Id="rId14" Type="http://schemas.openxmlformats.org/officeDocument/2006/relationships/image" Target="media/image6.tiff"/><Relationship Id="rId15" Type="http://schemas.openxmlformats.org/officeDocument/2006/relationships/image" Target="media/image7.tiff"/><Relationship Id="rId16" Type="http://schemas.openxmlformats.org/officeDocument/2006/relationships/hyperlink" Target="http://www.carrieromesievers.com"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www.traillandassociates.com" TargetMode="External"/><Relationship Id="rId8" Type="http://schemas.openxmlformats.org/officeDocument/2006/relationships/hyperlink" Target="mailto:rtraill@traillassociat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3702</Words>
  <Characters>21102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Microsoft Office User</cp:lastModifiedBy>
  <cp:revision>3</cp:revision>
  <cp:lastPrinted>2019-09-19T06:52:00Z</cp:lastPrinted>
  <dcterms:created xsi:type="dcterms:W3CDTF">2019-09-19T06:52:00Z</dcterms:created>
  <dcterms:modified xsi:type="dcterms:W3CDTF">2019-09-19T06:52:00Z</dcterms:modified>
</cp:coreProperties>
</file>